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2D92" w14:textId="30C4F411" w:rsidR="000458E8" w:rsidRPr="0008177D" w:rsidRDefault="000458E8" w:rsidP="0053775D">
      <w:pPr>
        <w:pStyle w:val="Heading2"/>
        <w:numPr>
          <w:ilvl w:val="0"/>
          <w:numId w:val="0"/>
        </w:numPr>
      </w:pPr>
      <w:bookmarkStart w:id="0" w:name="_Toc33783431"/>
      <w:bookmarkStart w:id="1" w:name="_Toc51676010"/>
      <w:bookmarkStart w:id="2" w:name="_Toc389632680"/>
      <w:bookmarkStart w:id="3" w:name="_Toc395003891"/>
      <w:bookmarkStart w:id="4" w:name="_Toc395003929"/>
      <w:bookmarkStart w:id="5" w:name="_Toc300304074"/>
      <w:bookmarkStart w:id="6" w:name="_Toc390181863"/>
      <w:r w:rsidRPr="0008177D">
        <w:t>Administrative Adjustments</w:t>
      </w:r>
      <w:r w:rsidR="00924448" w:rsidRPr="0008177D">
        <w:t xml:space="preserve"> (LDC Section 366)</w:t>
      </w:r>
      <w:bookmarkEnd w:id="0"/>
      <w:bookmarkEnd w:id="1"/>
    </w:p>
    <w:p w14:paraId="5C40BFD2" w14:textId="323A3BD9" w:rsidR="0089539C" w:rsidRDefault="0089539C" w:rsidP="0089539C">
      <w:pPr>
        <w:pStyle w:val="BodyText"/>
      </w:pPr>
      <w:r>
        <w:t xml:space="preserve">The Manatee Land Development Code provides for several types of deviation from code requirements: </w:t>
      </w:r>
      <w:r w:rsidRPr="003F7E01">
        <w:t>Modifications of Standards</w:t>
      </w:r>
      <w:r>
        <w:t>,</w:t>
      </w:r>
      <w:r w:rsidRPr="003F7E01">
        <w:t xml:space="preserve"> Administrative Adjustments</w:t>
      </w:r>
      <w:r>
        <w:t>,</w:t>
      </w:r>
      <w:r w:rsidRPr="0089539C">
        <w:t xml:space="preserve"> </w:t>
      </w:r>
      <w:r w:rsidRPr="003F7E01">
        <w:t>Variances</w:t>
      </w:r>
      <w:r w:rsidRPr="0089539C">
        <w:t xml:space="preserve"> </w:t>
      </w:r>
      <w:r>
        <w:t xml:space="preserve">and </w:t>
      </w:r>
      <w:r w:rsidRPr="003F7E01">
        <w:t>Floodplain variances</w:t>
      </w:r>
      <w:r>
        <w:t xml:space="preserve">. </w:t>
      </w:r>
      <w:r w:rsidRPr="003F7E01">
        <w:t>Administrative Adjustments</w:t>
      </w:r>
      <w:r>
        <w:t xml:space="preserve"> are intended for correcting measurement</w:t>
      </w:r>
      <w:r w:rsidRPr="000458E8">
        <w:t xml:space="preserve"> </w:t>
      </w:r>
      <w:r>
        <w:t>and encroachment errors, and allowing setbacks consistent with the neighboring setbacks.</w:t>
      </w:r>
    </w:p>
    <w:p w14:paraId="202CA428" w14:textId="2018E2EA" w:rsidR="00E84B60" w:rsidRPr="009A3BC9" w:rsidRDefault="00E84B60" w:rsidP="00E84B60">
      <w:pPr>
        <w:pStyle w:val="Heading3"/>
      </w:pPr>
      <w:r w:rsidRPr="009A3BC9">
        <w:t>Purpose</w:t>
      </w:r>
      <w:r w:rsidR="00A121AA">
        <w:t>.</w:t>
      </w:r>
    </w:p>
    <w:p w14:paraId="5C95039A" w14:textId="6F6130BB" w:rsidR="00D7571C" w:rsidRDefault="00D7571C" w:rsidP="00321F01">
      <w:pPr>
        <w:pStyle w:val="BodyText2"/>
      </w:pPr>
      <w:r>
        <w:t xml:space="preserve">Administrative </w:t>
      </w:r>
      <w:r w:rsidR="00496A41">
        <w:t>adjustments</w:t>
      </w:r>
      <w:r>
        <w:t xml:space="preserve"> are reviewed and approved or denied by the Department Director</w:t>
      </w:r>
      <w:r w:rsidR="008A468A">
        <w:t>.</w:t>
      </w:r>
      <w:r>
        <w:t xml:space="preserve">  Approval </w:t>
      </w:r>
      <w:r w:rsidRPr="00713F5F">
        <w:t xml:space="preserve">of an Administrative </w:t>
      </w:r>
      <w:r w:rsidR="00E84B60">
        <w:t>Adjustment</w:t>
      </w:r>
      <w:r w:rsidRPr="00713F5F">
        <w:t xml:space="preserve"> authorizes the applicant to proceed with any additional applications for development approval, Certificates of Occupancy, and other permits which the County may require for any proposed development of the property, or to continue </w:t>
      </w:r>
      <w:r w:rsidR="00E84B60">
        <w:t>to</w:t>
      </w:r>
      <w:r w:rsidRPr="00713F5F">
        <w:t xml:space="preserve"> use </w:t>
      </w:r>
      <w:r w:rsidR="00E84B60">
        <w:t xml:space="preserve">the </w:t>
      </w:r>
      <w:r w:rsidRPr="00713F5F">
        <w:t xml:space="preserve">encroachment permitted by such Administrative </w:t>
      </w:r>
      <w:r w:rsidR="00E84B60">
        <w:t>Adjustment</w:t>
      </w:r>
      <w:r w:rsidRPr="00713F5F">
        <w:t>.</w:t>
      </w:r>
    </w:p>
    <w:p w14:paraId="45505550" w14:textId="75C5E6B9" w:rsidR="00E84B60" w:rsidRPr="003F7E01" w:rsidRDefault="00E84B60" w:rsidP="00E84B60">
      <w:pPr>
        <w:pStyle w:val="Heading3"/>
      </w:pPr>
      <w:r w:rsidRPr="003F7E01">
        <w:t>Review Procedures</w:t>
      </w:r>
      <w:r w:rsidR="00A121AA">
        <w:t>.</w:t>
      </w:r>
    </w:p>
    <w:p w14:paraId="35E5B248" w14:textId="3D3D3737" w:rsidR="00E84B60" w:rsidRDefault="00E84B60" w:rsidP="00E84B60">
      <w:pPr>
        <w:pStyle w:val="BodyText2"/>
      </w:pPr>
      <w:r>
        <w:t xml:space="preserve">Requests for </w:t>
      </w:r>
      <w:r w:rsidRPr="00713F5F">
        <w:t xml:space="preserve">Administrative </w:t>
      </w:r>
      <w:r>
        <w:t xml:space="preserve">Adjustments are submitted and processed in conjunction with a development review request (e.g. Site Plan, </w:t>
      </w:r>
      <w:r w:rsidR="00606BA9">
        <w:t xml:space="preserve">Preliminary </w:t>
      </w:r>
      <w:r>
        <w:t>Plat). Therefore, the approval authority and procedures are the same as those of the development review application.</w:t>
      </w:r>
    </w:p>
    <w:p w14:paraId="29AF7672" w14:textId="44313E7E" w:rsidR="00E84B60" w:rsidRPr="003F7E01" w:rsidRDefault="00E84B60" w:rsidP="00E84B60">
      <w:pPr>
        <w:pStyle w:val="Heading3"/>
      </w:pPr>
      <w:r w:rsidRPr="003F7E01">
        <w:t xml:space="preserve">Review </w:t>
      </w:r>
      <w:r>
        <w:t>Criteria</w:t>
      </w:r>
      <w:r w:rsidR="00A121AA">
        <w:t>.</w:t>
      </w:r>
    </w:p>
    <w:p w14:paraId="7ADE5A1C" w14:textId="602922BE" w:rsidR="006428D5" w:rsidRDefault="00E84B60" w:rsidP="00321F01">
      <w:pPr>
        <w:pStyle w:val="BodyText2"/>
      </w:pPr>
      <w:r>
        <w:t>LDC Section 366.1 lists the types of adjustments that may be approved, which include:</w:t>
      </w:r>
    </w:p>
    <w:p w14:paraId="1E993527" w14:textId="233A09F8" w:rsidR="00E84B60" w:rsidRPr="00E84B60" w:rsidRDefault="00E84B60" w:rsidP="00CD5986">
      <w:pPr>
        <w:pStyle w:val="BodyText2"/>
        <w:numPr>
          <w:ilvl w:val="0"/>
          <w:numId w:val="65"/>
        </w:numPr>
      </w:pPr>
      <w:r w:rsidRPr="005F0DE6">
        <w:rPr>
          <w:i/>
          <w:iCs/>
        </w:rPr>
        <w:t>Errors in Yard Measurements</w:t>
      </w:r>
      <w:r w:rsidRPr="00E84B60">
        <w:t>. The Department Director is authorized to approve a deviation to a required yard if it is determined that there was an error in the location of an existing building or structure relative to the required yard, provided that the requested adjustment shall not exceed ten (10) percent of the required yard or one (1) foot, whichever is greater.</w:t>
      </w:r>
    </w:p>
    <w:p w14:paraId="7698D110" w14:textId="049D2306" w:rsidR="00E84B60" w:rsidRPr="00E84B60" w:rsidRDefault="00E84B60" w:rsidP="00CD5986">
      <w:pPr>
        <w:pStyle w:val="BodyText2"/>
        <w:numPr>
          <w:ilvl w:val="0"/>
          <w:numId w:val="65"/>
        </w:numPr>
      </w:pPr>
      <w:r w:rsidRPr="005F0DE6">
        <w:rPr>
          <w:i/>
          <w:iCs/>
        </w:rPr>
        <w:t>Front Yard Setbacks Consistent with Established Neighborhoods</w:t>
      </w:r>
      <w:r w:rsidRPr="00E84B60">
        <w:t>. The Department Director may approve an adjustment to the front yard setback to allow a setback that meets or exceeds the average setback of the existing homes on the same side of the street, provided that:</w:t>
      </w:r>
    </w:p>
    <w:p w14:paraId="5F994B7C" w14:textId="7C9E4765" w:rsidR="00E84B60" w:rsidRPr="00E84B60" w:rsidRDefault="00E84B60" w:rsidP="00CD5986">
      <w:pPr>
        <w:pStyle w:val="BodyText3"/>
        <w:numPr>
          <w:ilvl w:val="0"/>
          <w:numId w:val="66"/>
        </w:numPr>
      </w:pPr>
      <w:r w:rsidRPr="00E84B60">
        <w:t xml:space="preserve">The use is either: </w:t>
      </w:r>
    </w:p>
    <w:p w14:paraId="16F1AF3D" w14:textId="3D4B43FD" w:rsidR="00E84B60" w:rsidRPr="00E84B60" w:rsidRDefault="00E84B60" w:rsidP="00CD5986">
      <w:pPr>
        <w:pStyle w:val="BodyText4"/>
        <w:numPr>
          <w:ilvl w:val="0"/>
          <w:numId w:val="67"/>
        </w:numPr>
        <w:spacing w:after="0"/>
      </w:pPr>
      <w:r w:rsidRPr="00E84B60">
        <w:t>A new single-family or duplex dwelling within an established neighborhood.</w:t>
      </w:r>
    </w:p>
    <w:p w14:paraId="50DC6CCF" w14:textId="30E68102" w:rsidR="00E84B60" w:rsidRPr="00E84B60" w:rsidRDefault="00E84B60" w:rsidP="00CD5986">
      <w:pPr>
        <w:pStyle w:val="BodyText4"/>
        <w:numPr>
          <w:ilvl w:val="0"/>
          <w:numId w:val="67"/>
        </w:numPr>
      </w:pPr>
      <w:r w:rsidRPr="00E84B60">
        <w:t>An expansion of existing, non-elevated single-family or duplex dwellings in the Cortez Fishing Village HA Overlay District.</w:t>
      </w:r>
    </w:p>
    <w:p w14:paraId="33471D23" w14:textId="111991B2" w:rsidR="00E84B60" w:rsidRPr="00E84B60" w:rsidRDefault="00E84B60" w:rsidP="00CD5986">
      <w:pPr>
        <w:pStyle w:val="BodyText3"/>
        <w:numPr>
          <w:ilvl w:val="0"/>
          <w:numId w:val="66"/>
        </w:numPr>
      </w:pPr>
      <w:r w:rsidRPr="00E84B60">
        <w:t>The approved front yard setback is not less than twenty (20) feet, or fifteen (15) feet if located within the Cortez Fishing Village HA Overlay District; and the adjustment is less than ten (10) feet.</w:t>
      </w:r>
    </w:p>
    <w:p w14:paraId="4A359CAF" w14:textId="163113FF" w:rsidR="00E84B60" w:rsidRPr="00E84B60" w:rsidRDefault="00E84B60" w:rsidP="00CD5986">
      <w:pPr>
        <w:pStyle w:val="BodyText3"/>
        <w:numPr>
          <w:ilvl w:val="0"/>
          <w:numId w:val="66"/>
        </w:numPr>
      </w:pPr>
      <w:r w:rsidRPr="00E84B60">
        <w:t>The average front yard setback of existing homes shall be calculated based on the front yard setbacks of existing homes on the same side of the street for a distance of either four (4) homes on either side of the lot in question or the length of the block, whichever is less.</w:t>
      </w:r>
    </w:p>
    <w:p w14:paraId="05C8BEAB" w14:textId="6850585C" w:rsidR="00E84B60" w:rsidRPr="00E84B60" w:rsidRDefault="00E84B60" w:rsidP="00CD5986">
      <w:pPr>
        <w:pStyle w:val="BodyText2"/>
        <w:numPr>
          <w:ilvl w:val="0"/>
          <w:numId w:val="65"/>
        </w:numPr>
      </w:pPr>
      <w:r w:rsidRPr="005F0DE6">
        <w:rPr>
          <w:i/>
          <w:iCs/>
        </w:rPr>
        <w:t>Errors of Structure Encroachments into County Easements or Rights-of-Way</w:t>
      </w:r>
      <w:r w:rsidRPr="00E84B60">
        <w:t xml:space="preserve">. If it is discovered that an error has been made in the location of a building or structure, including a swimming pool, fence, wall, or similar structure, such that the structure is partially located within a County easement or right-of-way, the property owner or authorized agent, may apply for an administrative adjustment to allow the structure to remain within the easement or right-of-way provided that: </w:t>
      </w:r>
    </w:p>
    <w:p w14:paraId="0147587A" w14:textId="4FF3CEA8" w:rsidR="00E84B60" w:rsidRPr="00E84B60" w:rsidRDefault="00E84B60" w:rsidP="00CD5986">
      <w:pPr>
        <w:pStyle w:val="BodyText3"/>
        <w:numPr>
          <w:ilvl w:val="0"/>
          <w:numId w:val="68"/>
        </w:numPr>
      </w:pPr>
      <w:r w:rsidRPr="00E84B60">
        <w:t xml:space="preserve">The adjustment is limited to five (5) feet or fifty (50) percent of the width of the easement, whichever is less; </w:t>
      </w:r>
    </w:p>
    <w:p w14:paraId="2919F632" w14:textId="574BE8DC" w:rsidR="00E84B60" w:rsidRPr="00E84B60" w:rsidRDefault="00E84B60" w:rsidP="00CD5986">
      <w:pPr>
        <w:pStyle w:val="BodyText3"/>
        <w:numPr>
          <w:ilvl w:val="0"/>
          <w:numId w:val="68"/>
        </w:numPr>
      </w:pPr>
      <w:r w:rsidRPr="00E84B60">
        <w:lastRenderedPageBreak/>
        <w:t>The structure does not obstruct, impede, or unreasonably interfere with the intended use of the right-of-way or easement; and</w:t>
      </w:r>
    </w:p>
    <w:p w14:paraId="69583031" w14:textId="5D0F100D" w:rsidR="00E84B60" w:rsidRPr="00E84B60" w:rsidRDefault="00E84B60" w:rsidP="00CD5986">
      <w:pPr>
        <w:pStyle w:val="BodyText3"/>
        <w:numPr>
          <w:ilvl w:val="0"/>
          <w:numId w:val="68"/>
        </w:numPr>
      </w:pPr>
      <w:r w:rsidRPr="00E84B60">
        <w:t>The error was unintentional and unforeseen.</w:t>
      </w:r>
    </w:p>
    <w:p w14:paraId="7BD41566" w14:textId="5C44727E" w:rsidR="001761EA" w:rsidRPr="00B021CE" w:rsidRDefault="001761EA" w:rsidP="001761EA">
      <w:pPr>
        <w:pStyle w:val="Heading3"/>
      </w:pPr>
      <w:r>
        <w:t xml:space="preserve">Submitting </w:t>
      </w:r>
      <w:r w:rsidR="004E030C">
        <w:t>an</w:t>
      </w:r>
      <w:r>
        <w:t xml:space="preserve"> </w:t>
      </w:r>
      <w:r w:rsidR="004E030C" w:rsidRPr="004E030C">
        <w:t xml:space="preserve">Administrative Adjustment </w:t>
      </w:r>
      <w:r w:rsidRPr="00B021CE">
        <w:t>Application Packet</w:t>
      </w:r>
      <w:r w:rsidR="00A121AA">
        <w:t>.</w:t>
      </w:r>
    </w:p>
    <w:p w14:paraId="797293A9" w14:textId="361A4D14"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1245E670" w14:textId="6213EA66" w:rsidR="001761EA" w:rsidRPr="006529DE" w:rsidRDefault="00D47A89" w:rsidP="00CD5986">
      <w:pPr>
        <w:pStyle w:val="BodyText2"/>
        <w:numPr>
          <w:ilvl w:val="0"/>
          <w:numId w:val="116"/>
        </w:numPr>
      </w:pPr>
      <w:r w:rsidRPr="00793FA1">
        <w:rPr>
          <w:iCs/>
        </w:rPr>
        <w:t xml:space="preserve">From the list of Planning Applications on </w:t>
      </w:r>
      <w:r w:rsidRPr="00F90603">
        <w:rPr>
          <w:iCs/>
        </w:rPr>
        <w:t xml:space="preserve">Accela, select </w:t>
      </w:r>
      <w:r w:rsidR="00536C42" w:rsidRPr="00F90603">
        <w:t xml:space="preserve">Form </w:t>
      </w:r>
      <w:r w:rsidR="00536C42" w:rsidRPr="00F90603">
        <w:rPr>
          <w:i/>
          <w:iCs/>
        </w:rPr>
        <w:t>A1</w:t>
      </w:r>
      <w:r w:rsidR="006E12A4" w:rsidRPr="00F90603">
        <w:rPr>
          <w:i/>
          <w:iCs/>
        </w:rPr>
        <w:t>6</w:t>
      </w:r>
      <w:r w:rsidR="00536C42" w:rsidRPr="00F90603">
        <w:rPr>
          <w:i/>
          <w:iCs/>
        </w:rPr>
        <w:t xml:space="preserve"> -</w:t>
      </w:r>
      <w:r w:rsidR="00536C42" w:rsidRPr="00F90603">
        <w:t xml:space="preserve"> </w:t>
      </w:r>
      <w:r w:rsidR="00366D28" w:rsidRPr="00F90603">
        <w:rPr>
          <w:i/>
        </w:rPr>
        <w:t xml:space="preserve">Variances &amp; </w:t>
      </w:r>
      <w:r w:rsidRPr="00F90603">
        <w:rPr>
          <w:i/>
        </w:rPr>
        <w:t>Modifications</w:t>
      </w:r>
      <w:r w:rsidR="006E12A4" w:rsidRPr="00F90603">
        <w:rPr>
          <w:i/>
        </w:rPr>
        <w:t xml:space="preserve"> (Administrative)</w:t>
      </w:r>
      <w:r w:rsidRPr="00F90603">
        <w:t xml:space="preserve">, and in the Type of application select </w:t>
      </w:r>
      <w:r w:rsidR="002A0F06" w:rsidRPr="00F90603">
        <w:rPr>
          <w:i/>
          <w:iCs/>
        </w:rPr>
        <w:t>Administrative Adjustment</w:t>
      </w:r>
      <w:r w:rsidRPr="00793FA1">
        <w:t>. The information must be entered directly into Accela.</w:t>
      </w:r>
    </w:p>
    <w:p w14:paraId="1EA61E3F" w14:textId="531CC6F5" w:rsidR="001761EA" w:rsidRPr="00C0380B" w:rsidRDefault="00536C42" w:rsidP="00CD5986">
      <w:pPr>
        <w:pStyle w:val="BodyText2"/>
        <w:numPr>
          <w:ilvl w:val="0"/>
          <w:numId w:val="116"/>
        </w:numPr>
      </w:pPr>
      <w:r w:rsidRPr="00C0380B">
        <w:t xml:space="preserve">Form </w:t>
      </w:r>
      <w:r w:rsidRPr="009A7BEA">
        <w:rPr>
          <w:i/>
          <w:iCs/>
        </w:rPr>
        <w:t>B</w:t>
      </w:r>
      <w:r w:rsidR="00366D28">
        <w:rPr>
          <w:i/>
          <w:iCs/>
        </w:rPr>
        <w:t>1</w:t>
      </w:r>
      <w:r w:rsidR="006E12A4">
        <w:rPr>
          <w:i/>
          <w:iCs/>
        </w:rPr>
        <w:t>6</w:t>
      </w:r>
      <w:r w:rsidR="00366D28">
        <w:rPr>
          <w:i/>
          <w:iCs/>
        </w:rPr>
        <w:t>.2</w:t>
      </w:r>
      <w:r w:rsidRPr="009A7BEA">
        <w:rPr>
          <w:i/>
          <w:iCs/>
        </w:rPr>
        <w:t xml:space="preserve"> -</w:t>
      </w:r>
      <w:r>
        <w:t xml:space="preserve"> </w:t>
      </w:r>
      <w:r w:rsidR="004E030C" w:rsidRPr="004E030C">
        <w:rPr>
          <w:i/>
        </w:rPr>
        <w:t xml:space="preserve">Administrative Adjustments </w:t>
      </w:r>
      <w:r w:rsidR="001761EA" w:rsidRPr="00633A0E">
        <w:rPr>
          <w:i/>
        </w:rPr>
        <w:t xml:space="preserve">Application </w:t>
      </w:r>
      <w:r w:rsidR="001761EA" w:rsidRPr="00C0380B">
        <w:rPr>
          <w:i/>
        </w:rPr>
        <w:t>Worksheet</w:t>
      </w:r>
      <w:r w:rsidR="001761EA" w:rsidRPr="00C0380B">
        <w:t>.</w:t>
      </w:r>
    </w:p>
    <w:p w14:paraId="6ED7D1BD" w14:textId="13AF9AFC" w:rsidR="00CE1948" w:rsidRDefault="00536C42" w:rsidP="00CD5986">
      <w:pPr>
        <w:pStyle w:val="BodyText2"/>
        <w:numPr>
          <w:ilvl w:val="0"/>
          <w:numId w:val="116"/>
        </w:numPr>
      </w:pPr>
      <w:r w:rsidRPr="00C0380B">
        <w:t xml:space="preserve">Form </w:t>
      </w:r>
      <w:r w:rsidRPr="009A7BEA">
        <w:rPr>
          <w:i/>
          <w:iCs/>
        </w:rPr>
        <w:t>C</w:t>
      </w:r>
      <w:r w:rsidR="00366D28">
        <w:rPr>
          <w:i/>
          <w:iCs/>
        </w:rPr>
        <w:t>1</w:t>
      </w:r>
      <w:r w:rsidR="006E12A4">
        <w:rPr>
          <w:i/>
          <w:iCs/>
        </w:rPr>
        <w:t>6</w:t>
      </w:r>
      <w:r w:rsidR="00366D28">
        <w:rPr>
          <w:i/>
          <w:iCs/>
        </w:rPr>
        <w:t>.</w:t>
      </w:r>
      <w:r w:rsidRPr="009A7BEA">
        <w:rPr>
          <w:i/>
          <w:iCs/>
        </w:rPr>
        <w:t>2 -</w:t>
      </w:r>
      <w:r>
        <w:t xml:space="preserve"> </w:t>
      </w:r>
      <w:r w:rsidR="004E030C" w:rsidRPr="00C0380B">
        <w:rPr>
          <w:i/>
        </w:rPr>
        <w:t xml:space="preserve">Administrative Adjustments </w:t>
      </w:r>
      <w:r w:rsidR="001761EA" w:rsidRPr="00C0380B">
        <w:rPr>
          <w:i/>
        </w:rPr>
        <w:t>Application Checklist</w:t>
      </w:r>
      <w:r w:rsidR="001761EA" w:rsidRPr="006529DE">
        <w:t>.</w:t>
      </w:r>
      <w:r w:rsidR="001761EA" w:rsidRPr="00454F48">
        <w:t xml:space="preserve"> </w:t>
      </w:r>
    </w:p>
    <w:p w14:paraId="65E31C45" w14:textId="5CC98CAD" w:rsidR="001761EA" w:rsidRPr="00CE1948" w:rsidRDefault="001761EA" w:rsidP="00CE1948">
      <w:pPr>
        <w:pStyle w:val="BodyText2"/>
      </w:pPr>
      <w:r w:rsidRPr="00CE1948">
        <w:t>Collect all the required affidavits, certificates, reports and plans listed in the Checklist. You will be required to attach them to your electronic submission.</w:t>
      </w:r>
    </w:p>
    <w:p w14:paraId="54C0648C" w14:textId="1A62A9E3" w:rsidR="001761EA" w:rsidRPr="00CE1948" w:rsidRDefault="001761EA" w:rsidP="00CE1948">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2"/>
      <w:bookmarkEnd w:id="3"/>
      <w:bookmarkEnd w:id="4"/>
      <w:bookmarkEnd w:id="5"/>
      <w:bookmarkEnd w:id="6"/>
    </w:p>
    <w:sectPr w:rsidR="001761EA" w:rsidRPr="00CE1948" w:rsidSect="0053775D">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5A2E" w14:textId="77777777" w:rsidR="001E3F30" w:rsidRDefault="001E3F30" w:rsidP="00704136">
      <w:pPr>
        <w:spacing w:after="0"/>
      </w:pPr>
      <w:r>
        <w:separator/>
      </w:r>
    </w:p>
    <w:p w14:paraId="432D4817" w14:textId="77777777" w:rsidR="001E3F30" w:rsidRDefault="001E3F30"/>
  </w:endnote>
  <w:endnote w:type="continuationSeparator" w:id="0">
    <w:p w14:paraId="3E45B316" w14:textId="77777777" w:rsidR="001E3F30" w:rsidRDefault="001E3F30" w:rsidP="00704136">
      <w:pPr>
        <w:spacing w:after="0"/>
      </w:pPr>
      <w:r>
        <w:continuationSeparator/>
      </w:r>
    </w:p>
    <w:p w14:paraId="12F43514" w14:textId="77777777" w:rsidR="001E3F30" w:rsidRDefault="001E3F30"/>
  </w:endnote>
  <w:endnote w:type="continuationNotice" w:id="1">
    <w:p w14:paraId="7AD18115" w14:textId="77777777" w:rsidR="001E3F30" w:rsidRDefault="001E3F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4B60ED8"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53775D" w:rsidRPr="0053775D">
      <w:rPr>
        <w:rFonts w:asciiTheme="minorHAnsi" w:hAnsiTheme="minorHAnsi"/>
        <w:sz w:val="18"/>
        <w:szCs w:val="18"/>
      </w:rPr>
      <w:t xml:space="preserve">Page </w:t>
    </w:r>
    <w:r w:rsidR="0053775D" w:rsidRPr="0053775D">
      <w:rPr>
        <w:rFonts w:asciiTheme="minorHAnsi" w:hAnsiTheme="minorHAnsi"/>
        <w:b/>
        <w:bCs/>
        <w:sz w:val="18"/>
        <w:szCs w:val="18"/>
      </w:rPr>
      <w:fldChar w:fldCharType="begin"/>
    </w:r>
    <w:r w:rsidR="0053775D" w:rsidRPr="0053775D">
      <w:rPr>
        <w:rFonts w:asciiTheme="minorHAnsi" w:hAnsiTheme="minorHAnsi"/>
        <w:b/>
        <w:bCs/>
        <w:sz w:val="18"/>
        <w:szCs w:val="18"/>
      </w:rPr>
      <w:instrText xml:space="preserve"> PAGE  \* Arabic  \* MERGEFORMAT </w:instrText>
    </w:r>
    <w:r w:rsidR="0053775D" w:rsidRPr="0053775D">
      <w:rPr>
        <w:rFonts w:asciiTheme="minorHAnsi" w:hAnsiTheme="minorHAnsi"/>
        <w:b/>
        <w:bCs/>
        <w:sz w:val="18"/>
        <w:szCs w:val="18"/>
      </w:rPr>
      <w:fldChar w:fldCharType="separate"/>
    </w:r>
    <w:r w:rsidR="0053775D" w:rsidRPr="0053775D">
      <w:rPr>
        <w:rFonts w:asciiTheme="minorHAnsi" w:hAnsiTheme="minorHAnsi"/>
        <w:b/>
        <w:bCs/>
        <w:noProof/>
        <w:sz w:val="18"/>
        <w:szCs w:val="18"/>
      </w:rPr>
      <w:t>1</w:t>
    </w:r>
    <w:r w:rsidR="0053775D" w:rsidRPr="0053775D">
      <w:rPr>
        <w:rFonts w:asciiTheme="minorHAnsi" w:hAnsiTheme="minorHAnsi"/>
        <w:b/>
        <w:bCs/>
        <w:sz w:val="18"/>
        <w:szCs w:val="18"/>
      </w:rPr>
      <w:fldChar w:fldCharType="end"/>
    </w:r>
    <w:r w:rsidR="0053775D" w:rsidRPr="0053775D">
      <w:rPr>
        <w:rFonts w:asciiTheme="minorHAnsi" w:hAnsiTheme="minorHAnsi"/>
        <w:sz w:val="18"/>
        <w:szCs w:val="18"/>
      </w:rPr>
      <w:t xml:space="preserve"> of </w:t>
    </w:r>
    <w:r w:rsidR="0053775D" w:rsidRPr="0053775D">
      <w:rPr>
        <w:rFonts w:asciiTheme="minorHAnsi" w:hAnsiTheme="minorHAnsi"/>
        <w:b/>
        <w:bCs/>
        <w:sz w:val="18"/>
        <w:szCs w:val="18"/>
      </w:rPr>
      <w:fldChar w:fldCharType="begin"/>
    </w:r>
    <w:r w:rsidR="0053775D" w:rsidRPr="0053775D">
      <w:rPr>
        <w:rFonts w:asciiTheme="minorHAnsi" w:hAnsiTheme="minorHAnsi"/>
        <w:b/>
        <w:bCs/>
        <w:sz w:val="18"/>
        <w:szCs w:val="18"/>
      </w:rPr>
      <w:instrText xml:space="preserve"> NUMPAGES  \* Arabic  \* MERGEFORMAT </w:instrText>
    </w:r>
    <w:r w:rsidR="0053775D" w:rsidRPr="0053775D">
      <w:rPr>
        <w:rFonts w:asciiTheme="minorHAnsi" w:hAnsiTheme="minorHAnsi"/>
        <w:b/>
        <w:bCs/>
        <w:sz w:val="18"/>
        <w:szCs w:val="18"/>
      </w:rPr>
      <w:fldChar w:fldCharType="separate"/>
    </w:r>
    <w:r w:rsidR="0053775D" w:rsidRPr="0053775D">
      <w:rPr>
        <w:rFonts w:asciiTheme="minorHAnsi" w:hAnsiTheme="minorHAnsi"/>
        <w:b/>
        <w:bCs/>
        <w:noProof/>
        <w:sz w:val="18"/>
        <w:szCs w:val="18"/>
      </w:rPr>
      <w:t>2</w:t>
    </w:r>
    <w:r w:rsidR="0053775D" w:rsidRPr="0053775D">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EC81" w14:textId="77777777" w:rsidR="001E3F30" w:rsidRDefault="001E3F30" w:rsidP="00704136">
      <w:pPr>
        <w:spacing w:after="0"/>
      </w:pPr>
      <w:r>
        <w:separator/>
      </w:r>
    </w:p>
    <w:p w14:paraId="0EF7F665" w14:textId="77777777" w:rsidR="001E3F30" w:rsidRDefault="001E3F30"/>
  </w:footnote>
  <w:footnote w:type="continuationSeparator" w:id="0">
    <w:p w14:paraId="71F73F25" w14:textId="77777777" w:rsidR="001E3F30" w:rsidRDefault="001E3F30" w:rsidP="00704136">
      <w:pPr>
        <w:spacing w:after="0"/>
      </w:pPr>
      <w:r>
        <w:continuationSeparator/>
      </w:r>
    </w:p>
    <w:p w14:paraId="353E50C0" w14:textId="77777777" w:rsidR="001E3F30" w:rsidRDefault="001E3F30"/>
  </w:footnote>
  <w:footnote w:type="continuationNotice" w:id="1">
    <w:p w14:paraId="21E5330D" w14:textId="77777777" w:rsidR="001E3F30" w:rsidRDefault="001E3F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A9A6" w14:textId="04F07506" w:rsidR="0053775D" w:rsidRDefault="0053775D" w:rsidP="0053775D">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346D8337" wp14:editId="2739A918">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532C28E2" w14:textId="25F953BA" w:rsidR="0053775D" w:rsidRDefault="00833CD2" w:rsidP="0053775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53775D">
      <w:rPr>
        <w:rFonts w:ascii="Calibri" w:eastAsia="Times New Roman" w:hAnsi="Calibri" w:cs="Calibri"/>
        <w:color w:val="000000"/>
        <w:szCs w:val="24"/>
        <w:lang w:val="x-none"/>
      </w:rPr>
      <w:t xml:space="preserve"> </w:t>
    </w:r>
  </w:p>
  <w:p w14:paraId="60294F4D" w14:textId="38B8B0DB" w:rsidR="0053775D" w:rsidRDefault="00833CD2" w:rsidP="0053775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53775D">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53775D">
      <w:rPr>
        <w:rFonts w:ascii="Calibri" w:eastAsia="Times New Roman" w:hAnsi="Calibri" w:cs="Calibri"/>
        <w:color w:val="000000"/>
        <w:szCs w:val="24"/>
        <w:lang w:val="x-none"/>
      </w:rPr>
      <w:t xml:space="preserve"> </w:t>
    </w:r>
  </w:p>
  <w:p w14:paraId="2BD417B6" w14:textId="77777777" w:rsidR="0053775D" w:rsidRDefault="0053775D" w:rsidP="0053775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29E79B0" w14:textId="77777777" w:rsidR="0053775D" w:rsidRDefault="0053775D" w:rsidP="0053775D">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412B1A4" w:rsidR="0096134B" w:rsidRPr="0053775D" w:rsidRDefault="0053775D" w:rsidP="0053775D">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6743711">
    <w:abstractNumId w:val="59"/>
  </w:num>
  <w:num w:numId="2" w16cid:durableId="947158985">
    <w:abstractNumId w:val="75"/>
  </w:num>
  <w:num w:numId="3" w16cid:durableId="151725399">
    <w:abstractNumId w:val="46"/>
  </w:num>
  <w:num w:numId="4" w16cid:durableId="243950703">
    <w:abstractNumId w:val="50"/>
  </w:num>
  <w:num w:numId="5" w16cid:durableId="1434134652">
    <w:abstractNumId w:val="1"/>
  </w:num>
  <w:num w:numId="6" w16cid:durableId="554317046">
    <w:abstractNumId w:val="0"/>
  </w:num>
  <w:num w:numId="7" w16cid:durableId="1762993303">
    <w:abstractNumId w:val="2"/>
  </w:num>
  <w:num w:numId="8" w16cid:durableId="1346860926">
    <w:abstractNumId w:val="45"/>
  </w:num>
  <w:num w:numId="9" w16cid:durableId="1104374387">
    <w:abstractNumId w:val="82"/>
  </w:num>
  <w:num w:numId="10" w16cid:durableId="1114860956">
    <w:abstractNumId w:val="38"/>
  </w:num>
  <w:num w:numId="11" w16cid:durableId="1835753743">
    <w:abstractNumId w:val="28"/>
  </w:num>
  <w:num w:numId="12" w16cid:durableId="709720114">
    <w:abstractNumId w:val="67"/>
  </w:num>
  <w:num w:numId="13" w16cid:durableId="1794863384">
    <w:abstractNumId w:val="48"/>
  </w:num>
  <w:num w:numId="14" w16cid:durableId="1186285100">
    <w:abstractNumId w:val="51"/>
  </w:num>
  <w:num w:numId="15" w16cid:durableId="1436629640">
    <w:abstractNumId w:val="31"/>
  </w:num>
  <w:num w:numId="16" w16cid:durableId="1382096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04813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4329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1448304">
    <w:abstractNumId w:val="44"/>
  </w:num>
  <w:num w:numId="20" w16cid:durableId="15481804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8378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9855436">
    <w:abstractNumId w:val="76"/>
  </w:num>
  <w:num w:numId="23" w16cid:durableId="774785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7363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8083761">
    <w:abstractNumId w:val="8"/>
  </w:num>
  <w:num w:numId="26" w16cid:durableId="1494684642">
    <w:abstractNumId w:val="72"/>
  </w:num>
  <w:num w:numId="27" w16cid:durableId="1152212457">
    <w:abstractNumId w:val="20"/>
  </w:num>
  <w:num w:numId="28" w16cid:durableId="484319028">
    <w:abstractNumId w:val="30"/>
  </w:num>
  <w:num w:numId="29" w16cid:durableId="1242835050">
    <w:abstractNumId w:val="65"/>
  </w:num>
  <w:num w:numId="30" w16cid:durableId="1561864866">
    <w:abstractNumId w:val="37"/>
  </w:num>
  <w:num w:numId="31" w16cid:durableId="2099250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7689064">
    <w:abstractNumId w:val="21"/>
  </w:num>
  <w:num w:numId="33" w16cid:durableId="1159806266">
    <w:abstractNumId w:val="32"/>
  </w:num>
  <w:num w:numId="34" w16cid:durableId="1766030268">
    <w:abstractNumId w:val="83"/>
  </w:num>
  <w:num w:numId="35" w16cid:durableId="3660272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422480">
    <w:abstractNumId w:val="26"/>
  </w:num>
  <w:num w:numId="37" w16cid:durableId="520514975">
    <w:abstractNumId w:val="55"/>
  </w:num>
  <w:num w:numId="38" w16cid:durableId="728722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5672132">
    <w:abstractNumId w:val="13"/>
  </w:num>
  <w:num w:numId="40" w16cid:durableId="1943606477">
    <w:abstractNumId w:val="56"/>
  </w:num>
  <w:num w:numId="41" w16cid:durableId="235434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405748">
    <w:abstractNumId w:val="24"/>
  </w:num>
  <w:num w:numId="43" w16cid:durableId="467481447">
    <w:abstractNumId w:val="71"/>
  </w:num>
  <w:num w:numId="44" w16cid:durableId="1949118098">
    <w:abstractNumId w:val="6"/>
  </w:num>
  <w:num w:numId="45" w16cid:durableId="571938295">
    <w:abstractNumId w:val="23"/>
  </w:num>
  <w:num w:numId="46" w16cid:durableId="521671333">
    <w:abstractNumId w:val="9"/>
  </w:num>
  <w:num w:numId="47" w16cid:durableId="140732857">
    <w:abstractNumId w:val="77"/>
  </w:num>
  <w:num w:numId="48" w16cid:durableId="431440035">
    <w:abstractNumId w:val="47"/>
  </w:num>
  <w:num w:numId="49" w16cid:durableId="383137586">
    <w:abstractNumId w:val="10"/>
  </w:num>
  <w:num w:numId="50" w16cid:durableId="1958675345">
    <w:abstractNumId w:val="80"/>
  </w:num>
  <w:num w:numId="51" w16cid:durableId="1394700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7789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5748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51905021">
    <w:abstractNumId w:val="64"/>
  </w:num>
  <w:num w:numId="55" w16cid:durableId="120652951">
    <w:abstractNumId w:val="61"/>
  </w:num>
  <w:num w:numId="56" w16cid:durableId="409236711">
    <w:abstractNumId w:val="58"/>
  </w:num>
  <w:num w:numId="57" w16cid:durableId="1441608764">
    <w:abstractNumId w:val="43"/>
  </w:num>
  <w:num w:numId="58" w16cid:durableId="1918661207">
    <w:abstractNumId w:val="42"/>
  </w:num>
  <w:num w:numId="59" w16cid:durableId="1948806708">
    <w:abstractNumId w:val="39"/>
  </w:num>
  <w:num w:numId="60" w16cid:durableId="1811436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3221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340217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04196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4191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69035611">
    <w:abstractNumId w:val="41"/>
  </w:num>
  <w:num w:numId="66" w16cid:durableId="1714109177">
    <w:abstractNumId w:val="35"/>
  </w:num>
  <w:num w:numId="67" w16cid:durableId="1021319184">
    <w:abstractNumId w:val="68"/>
  </w:num>
  <w:num w:numId="68" w16cid:durableId="747731834">
    <w:abstractNumId w:val="63"/>
  </w:num>
  <w:num w:numId="69" w16cid:durableId="1651901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32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7057373">
    <w:abstractNumId w:val="18"/>
  </w:num>
  <w:num w:numId="72" w16cid:durableId="1655255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53735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01304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0589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50775807">
    <w:abstractNumId w:val="36"/>
  </w:num>
  <w:num w:numId="77" w16cid:durableId="1390761669">
    <w:abstractNumId w:val="81"/>
  </w:num>
  <w:num w:numId="78" w16cid:durableId="2104640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2364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88656668">
    <w:abstractNumId w:val="57"/>
  </w:num>
  <w:num w:numId="81" w16cid:durableId="19675893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454273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3958672">
    <w:abstractNumId w:val="70"/>
  </w:num>
  <w:num w:numId="84" w16cid:durableId="1937640249">
    <w:abstractNumId w:val="79"/>
  </w:num>
  <w:num w:numId="85" w16cid:durableId="1500147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7002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13628237">
    <w:abstractNumId w:val="17"/>
  </w:num>
  <w:num w:numId="88" w16cid:durableId="494300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68187394">
    <w:abstractNumId w:val="33"/>
  </w:num>
  <w:num w:numId="90" w16cid:durableId="1195848576">
    <w:abstractNumId w:val="62"/>
  </w:num>
  <w:num w:numId="91" w16cid:durableId="1790204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35340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30163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70773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45127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35058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73255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86130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84724375">
    <w:abstractNumId w:val="12"/>
  </w:num>
  <w:num w:numId="100" w16cid:durableId="8188852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115657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2101387">
    <w:abstractNumId w:val="29"/>
  </w:num>
  <w:num w:numId="103" w16cid:durableId="933976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78697650">
    <w:abstractNumId w:val="74"/>
  </w:num>
  <w:num w:numId="105" w16cid:durableId="906308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78889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272495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08895544">
    <w:abstractNumId w:val="66"/>
  </w:num>
  <w:num w:numId="109" w16cid:durableId="19187116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24431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8997989">
    <w:abstractNumId w:val="16"/>
  </w:num>
  <w:num w:numId="112" w16cid:durableId="6844749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67768512">
    <w:abstractNumId w:val="11"/>
  </w:num>
  <w:num w:numId="114" w16cid:durableId="664281942">
    <w:abstractNumId w:val="53"/>
  </w:num>
  <w:num w:numId="115" w16cid:durableId="1696610885">
    <w:abstractNumId w:val="78"/>
  </w:num>
  <w:num w:numId="116" w16cid:durableId="739136054">
    <w:abstractNumId w:val="5"/>
  </w:num>
  <w:num w:numId="117" w16cid:durableId="541602825">
    <w:abstractNumId w:val="69"/>
  </w:num>
  <w:num w:numId="118" w16cid:durableId="3580888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25845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361057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91678271">
    <w:abstractNumId w:val="14"/>
  </w:num>
  <w:num w:numId="122" w16cid:durableId="2101750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4561807">
    <w:abstractNumId w:val="40"/>
  </w:num>
  <w:num w:numId="124" w16cid:durableId="1585842266">
    <w:abstractNumId w:val="73"/>
  </w:num>
  <w:num w:numId="125" w16cid:durableId="1639148310">
    <w:abstractNumId w:val="49"/>
  </w:num>
  <w:num w:numId="126" w16cid:durableId="1576357677">
    <w:abstractNumId w:val="7"/>
  </w:num>
  <w:num w:numId="127" w16cid:durableId="142552046">
    <w:abstractNumId w:val="27"/>
  </w:num>
  <w:num w:numId="128" w16cid:durableId="1726097780">
    <w:abstractNumId w:val="52"/>
  </w:num>
  <w:num w:numId="129" w16cid:durableId="1700665157">
    <w:abstractNumId w:val="54"/>
  </w:num>
  <w:num w:numId="130" w16cid:durableId="2027244109">
    <w:abstractNumId w:val="60"/>
  </w:num>
  <w:num w:numId="131" w16cid:durableId="619996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33809065">
    <w:abstractNumId w:val="15"/>
  </w:num>
  <w:num w:numId="133" w16cid:durableId="404423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370083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39745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29535320">
    <w:abstractNumId w:val="19"/>
  </w:num>
  <w:num w:numId="137" w16cid:durableId="1745032834">
    <w:abstractNumId w:val="22"/>
  </w:num>
  <w:num w:numId="138" w16cid:durableId="1187133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43996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39028771">
    <w:abstractNumId w:val="34"/>
  </w:num>
  <w:num w:numId="141" w16cid:durableId="1729187979">
    <w:abstractNumId w:val="25"/>
  </w:num>
  <w:num w:numId="142" w16cid:durableId="85237529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Y8fL7jWsQvAkk5rIsdbYqEe4cLVqMaeHx7mwkbHEIWzyQRGXKgl4BjXyoEtPIBMQHFpF/El9g4X2PFKfkWiMEQ==" w:salt="4Z8Ml9Uh77HNlmoRNK0p8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3F30"/>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75D"/>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2CA4"/>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3CD2"/>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640F"/>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018"/>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074"/>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25826509">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5125960-5533-4960-8801-108db8a872fc"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D303C21E-9B63-44F5-893C-C5807A43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4259</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2025-11-26T12:50:00Z</dcterms:created>
  <dcterms:modified xsi:type="dcterms:W3CDTF">2025-11-26T15:47:00Z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