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54C3" w14:textId="77777777" w:rsidR="00C453CB" w:rsidRDefault="00C453CB" w:rsidP="00C453CB">
      <w:pPr>
        <w:pStyle w:val="BodyText"/>
      </w:pPr>
      <w:bookmarkStart w:id="0" w:name="_Toc395003905"/>
      <w:bookmarkStart w:id="1" w:name="_Toc33783426"/>
      <w:bookmarkStart w:id="2" w:name="_Toc51676006"/>
      <w:bookmarkStart w:id="3" w:name="_Toc384642807"/>
      <w:bookmarkStart w:id="4" w:name="_Toc389144436"/>
      <w:bookmarkStart w:id="5" w:name="_Toc389632659"/>
      <w:bookmarkStart w:id="6" w:name="_Toc395003862"/>
      <w:bookmarkStart w:id="7" w:name="_Toc389144421"/>
      <w:bookmarkStart w:id="8" w:name="_Toc389632631"/>
    </w:p>
    <w:p w14:paraId="38841AE8" w14:textId="18949E15" w:rsidR="000458E8" w:rsidRPr="00983558" w:rsidRDefault="000458E8" w:rsidP="00C453CB">
      <w:pPr>
        <w:pStyle w:val="Heading2"/>
        <w:numPr>
          <w:ilvl w:val="0"/>
          <w:numId w:val="0"/>
        </w:numPr>
      </w:pPr>
      <w:r w:rsidRPr="00983558">
        <w:t>Certificate of Appropriateness</w:t>
      </w:r>
      <w:bookmarkEnd w:id="0"/>
      <w:r w:rsidRPr="00983558">
        <w:t xml:space="preserve"> </w:t>
      </w:r>
      <w:r w:rsidR="00924448">
        <w:t>(LDC Section 346)</w:t>
      </w:r>
      <w:bookmarkEnd w:id="1"/>
      <w:bookmarkEnd w:id="2"/>
    </w:p>
    <w:p w14:paraId="3F0911FE" w14:textId="24ADB718" w:rsidR="000458E8" w:rsidRPr="00E21740" w:rsidRDefault="000458E8" w:rsidP="00850D43">
      <w:pPr>
        <w:pStyle w:val="Heading3"/>
      </w:pPr>
      <w:bookmarkStart w:id="9" w:name="_Toc389144424"/>
      <w:bookmarkStart w:id="10" w:name="_Toc389632641"/>
      <w:bookmarkStart w:id="11" w:name="_Toc395003906"/>
      <w:r w:rsidRPr="00E21740">
        <w:t>Purpose</w:t>
      </w:r>
      <w:bookmarkEnd w:id="9"/>
      <w:bookmarkEnd w:id="10"/>
      <w:bookmarkEnd w:id="11"/>
      <w:r w:rsidR="00A121AA">
        <w:t>.</w:t>
      </w:r>
    </w:p>
    <w:p w14:paraId="6BDA6F7A" w14:textId="57CA6637" w:rsidR="000458E8" w:rsidRPr="00D10050" w:rsidRDefault="000458E8" w:rsidP="00321F01">
      <w:pPr>
        <w:pStyle w:val="BodyText2"/>
      </w:pPr>
      <w:bookmarkStart w:id="12" w:name="_Toc389144425"/>
      <w:bookmarkStart w:id="13" w:name="_Toc389632642"/>
      <w:r w:rsidRPr="00983558">
        <w:t xml:space="preserve">A Certificate of Appropriateness (COA) is </w:t>
      </w:r>
      <w:r>
        <w:t xml:space="preserve">required prior to making any </w:t>
      </w:r>
      <w:r w:rsidRPr="00983558">
        <w:t xml:space="preserve">alterations, restorations, renovations, excavations, movement, demolition </w:t>
      </w:r>
      <w:r>
        <w:t xml:space="preserve">or </w:t>
      </w:r>
      <w:r w:rsidRPr="00983558">
        <w:t xml:space="preserve">erection of </w:t>
      </w:r>
      <w:r>
        <w:t xml:space="preserve">a building (historic or otherwise) within a </w:t>
      </w:r>
      <w:r w:rsidRPr="00983558">
        <w:t xml:space="preserve">historic </w:t>
      </w:r>
      <w:r>
        <w:t>o</w:t>
      </w:r>
      <w:r w:rsidRPr="00983558">
        <w:t xml:space="preserve">verlay </w:t>
      </w:r>
      <w:r>
        <w:t>d</w:t>
      </w:r>
      <w:r w:rsidRPr="00983558">
        <w:t xml:space="preserve">istrict. </w:t>
      </w:r>
      <w:r w:rsidRPr="00381A83">
        <w:t>The Historic Preservation Board review</w:t>
      </w:r>
      <w:r>
        <w:t>s</w:t>
      </w:r>
      <w:r w:rsidRPr="00381A83">
        <w:t xml:space="preserve"> all certificate of appropriateness </w:t>
      </w:r>
      <w:r w:rsidRPr="003A7A29">
        <w:t>applications for improvements valued at $5,000 or more</w:t>
      </w:r>
      <w:r w:rsidR="0058348F" w:rsidRPr="003A7A29">
        <w:t xml:space="preserve"> (Major COA)</w:t>
      </w:r>
      <w:r w:rsidRPr="003A7A29">
        <w:t>. Improvements valued at less than $5,000, in addition</w:t>
      </w:r>
      <w:r w:rsidRPr="00381A83">
        <w:t xml:space="preserve"> to the following activities, may be approved administratively</w:t>
      </w:r>
      <w:r w:rsidR="0058348F">
        <w:t xml:space="preserve"> (Minor COA)</w:t>
      </w:r>
      <w:r w:rsidRPr="00381A83">
        <w:t>.</w:t>
      </w:r>
    </w:p>
    <w:p w14:paraId="35F39947" w14:textId="77777777" w:rsidR="000458E8" w:rsidRPr="00381A83" w:rsidRDefault="000458E8" w:rsidP="00CD5986">
      <w:pPr>
        <w:pStyle w:val="BodyText2"/>
        <w:numPr>
          <w:ilvl w:val="0"/>
          <w:numId w:val="55"/>
        </w:numPr>
      </w:pPr>
      <w:r w:rsidRPr="00381A83">
        <w:t>All “emergency” related exterior and interior repairs (i.e. when a finding is made by the Department Director or his/her designee that health, safety and welfare issues are involved);</w:t>
      </w:r>
    </w:p>
    <w:p w14:paraId="5D4BF94E" w14:textId="77777777" w:rsidR="000458E8" w:rsidRPr="00381A83" w:rsidRDefault="000458E8" w:rsidP="00CD5986">
      <w:pPr>
        <w:pStyle w:val="BodyText2"/>
        <w:numPr>
          <w:ilvl w:val="0"/>
          <w:numId w:val="55"/>
        </w:numPr>
      </w:pPr>
      <w:r w:rsidRPr="00381A83">
        <w:t xml:space="preserve">All mobile home and RV park </w:t>
      </w:r>
      <w:r>
        <w:t xml:space="preserve">set ups and </w:t>
      </w:r>
      <w:r w:rsidRPr="00381A83">
        <w:t xml:space="preserve">additions, including </w:t>
      </w:r>
      <w:proofErr w:type="spellStart"/>
      <w:r w:rsidRPr="00381A83">
        <w:t>roofovers</w:t>
      </w:r>
      <w:proofErr w:type="spellEnd"/>
      <w:r w:rsidRPr="00381A83">
        <w:t xml:space="preserve">, screen rooms, carports, and canopies; </w:t>
      </w:r>
    </w:p>
    <w:p w14:paraId="46A80E3C" w14:textId="77777777" w:rsidR="000458E8" w:rsidRPr="00381A83" w:rsidRDefault="000458E8" w:rsidP="00CD5986">
      <w:pPr>
        <w:pStyle w:val="BodyText2"/>
        <w:numPr>
          <w:ilvl w:val="0"/>
          <w:numId w:val="55"/>
        </w:numPr>
      </w:pPr>
      <w:r w:rsidRPr="00381A83">
        <w:t>All roof repairs and replacements, including vinyl or aluminum soffit and fascia.</w:t>
      </w:r>
    </w:p>
    <w:p w14:paraId="3836F907" w14:textId="77777777" w:rsidR="000458E8" w:rsidRPr="003A7A29" w:rsidRDefault="000458E8" w:rsidP="00CD5986">
      <w:pPr>
        <w:pStyle w:val="BodyText2"/>
        <w:numPr>
          <w:ilvl w:val="0"/>
          <w:numId w:val="55"/>
        </w:numPr>
      </w:pPr>
      <w:r w:rsidRPr="003A7A29">
        <w:t>All vinyl or steel horizontal siding over existing façade;</w:t>
      </w:r>
    </w:p>
    <w:p w14:paraId="2FFC443B" w14:textId="77777777" w:rsidR="000458E8" w:rsidRPr="003A7A29" w:rsidRDefault="000458E8" w:rsidP="00CD5986">
      <w:pPr>
        <w:pStyle w:val="BodyText2"/>
        <w:numPr>
          <w:ilvl w:val="0"/>
          <w:numId w:val="55"/>
        </w:numPr>
      </w:pPr>
      <w:r w:rsidRPr="003A7A29">
        <w:t>All stucco over concrete block construction for structures;</w:t>
      </w:r>
    </w:p>
    <w:p w14:paraId="7BD2583B" w14:textId="77777777" w:rsidR="000458E8" w:rsidRPr="00381A83" w:rsidRDefault="000458E8" w:rsidP="00CD5986">
      <w:pPr>
        <w:pStyle w:val="BodyText2"/>
        <w:numPr>
          <w:ilvl w:val="0"/>
          <w:numId w:val="55"/>
        </w:numPr>
      </w:pPr>
      <w:r w:rsidRPr="00381A83">
        <w:t>All interior completions for commercial, industrial, and residential structures;</w:t>
      </w:r>
    </w:p>
    <w:p w14:paraId="4F8FD69B" w14:textId="77777777" w:rsidR="000458E8" w:rsidRPr="003706BB" w:rsidRDefault="000458E8" w:rsidP="00CD5986">
      <w:pPr>
        <w:pStyle w:val="BodyText2"/>
        <w:numPr>
          <w:ilvl w:val="0"/>
          <w:numId w:val="55"/>
        </w:numPr>
      </w:pPr>
      <w:r w:rsidRPr="003706BB">
        <w:t>All interior renovations for structures;</w:t>
      </w:r>
    </w:p>
    <w:p w14:paraId="5C28C5DC" w14:textId="77777777" w:rsidR="000458E8" w:rsidRPr="00381A83" w:rsidRDefault="000458E8" w:rsidP="00CD5986">
      <w:pPr>
        <w:pStyle w:val="BodyText2"/>
        <w:numPr>
          <w:ilvl w:val="0"/>
          <w:numId w:val="55"/>
        </w:numPr>
      </w:pPr>
      <w:r w:rsidRPr="00381A83">
        <w:t xml:space="preserve">All seawall cap replacements (seawall cap only); </w:t>
      </w:r>
    </w:p>
    <w:p w14:paraId="233B62B0" w14:textId="77777777" w:rsidR="000458E8" w:rsidRPr="00381A83" w:rsidRDefault="000458E8" w:rsidP="00CD5986">
      <w:pPr>
        <w:pStyle w:val="BodyText2"/>
        <w:numPr>
          <w:ilvl w:val="0"/>
          <w:numId w:val="55"/>
        </w:numPr>
      </w:pPr>
      <w:r w:rsidRPr="00381A83">
        <w:t>All pool/spa, pool cage and pool deck installations / repairs/ replacements /</w:t>
      </w:r>
      <w:r w:rsidRPr="00B7641D">
        <w:t xml:space="preserve"> </w:t>
      </w:r>
      <w:r w:rsidRPr="00381A83">
        <w:t>demolitions;</w:t>
      </w:r>
    </w:p>
    <w:p w14:paraId="3845C4A4" w14:textId="77777777" w:rsidR="000458E8" w:rsidRPr="00381A83" w:rsidRDefault="000458E8" w:rsidP="00CD5986">
      <w:pPr>
        <w:pStyle w:val="BodyText2"/>
        <w:numPr>
          <w:ilvl w:val="0"/>
          <w:numId w:val="55"/>
        </w:numPr>
      </w:pPr>
      <w:r w:rsidRPr="00381A83">
        <w:t xml:space="preserve">The construction </w:t>
      </w:r>
      <w:r>
        <w:t xml:space="preserve">or alteration of </w:t>
      </w:r>
      <w:r w:rsidRPr="00381A83">
        <w:t>fences in rear and side yards;</w:t>
      </w:r>
    </w:p>
    <w:p w14:paraId="6795A516" w14:textId="77777777" w:rsidR="000458E8" w:rsidRPr="00381A83" w:rsidRDefault="000458E8" w:rsidP="00CD5986">
      <w:pPr>
        <w:pStyle w:val="BodyText2"/>
        <w:numPr>
          <w:ilvl w:val="0"/>
          <w:numId w:val="55"/>
        </w:numPr>
      </w:pPr>
      <w:r w:rsidRPr="00381A83">
        <w:t xml:space="preserve">The construction </w:t>
      </w:r>
      <w:r>
        <w:t xml:space="preserve">or </w:t>
      </w:r>
      <w:r w:rsidRPr="00381A83">
        <w:t>alteration of accessory storage structures and sheds in required rear and side yards;</w:t>
      </w:r>
    </w:p>
    <w:p w14:paraId="72EB3134" w14:textId="77777777" w:rsidR="000458E8" w:rsidRPr="00B7641D" w:rsidRDefault="000458E8" w:rsidP="00CD5986">
      <w:pPr>
        <w:pStyle w:val="BodyText2"/>
        <w:numPr>
          <w:ilvl w:val="0"/>
          <w:numId w:val="55"/>
        </w:numPr>
      </w:pPr>
      <w:r w:rsidRPr="00381A83">
        <w:t xml:space="preserve">The construction </w:t>
      </w:r>
      <w:r>
        <w:t xml:space="preserve">or </w:t>
      </w:r>
      <w:r w:rsidRPr="00381A83">
        <w:t xml:space="preserve">alteration of child’s playhouses and child’s play equipment, pet shelters, unlighted tennis, basketball or volleyball courts and other similar private outdoor recreation uses </w:t>
      </w:r>
      <w:r>
        <w:t>if deemed accessory to the principal use</w:t>
      </w:r>
      <w:r w:rsidRPr="00381A83">
        <w:t>;</w:t>
      </w:r>
    </w:p>
    <w:p w14:paraId="43CB8D87" w14:textId="77777777" w:rsidR="000458E8" w:rsidRPr="00B7641D" w:rsidRDefault="000458E8" w:rsidP="00CD5986">
      <w:pPr>
        <w:pStyle w:val="BodyText2"/>
        <w:numPr>
          <w:ilvl w:val="0"/>
          <w:numId w:val="55"/>
        </w:numPr>
      </w:pPr>
      <w:r w:rsidRPr="00381A83">
        <w:t xml:space="preserve">The construction </w:t>
      </w:r>
      <w:r>
        <w:t xml:space="preserve">or </w:t>
      </w:r>
      <w:r w:rsidRPr="00381A83">
        <w:t>alteration of accessory structures and uses allowed in required front</w:t>
      </w:r>
      <w:r w:rsidRPr="00B7641D">
        <w:t xml:space="preserve"> </w:t>
      </w:r>
      <w:r w:rsidRPr="00381A83">
        <w:t>yards</w:t>
      </w:r>
      <w:r w:rsidRPr="00B7641D">
        <w:t>.</w:t>
      </w:r>
    </w:p>
    <w:p w14:paraId="730154C6" w14:textId="77777777" w:rsidR="000458E8" w:rsidRPr="00381A83" w:rsidRDefault="000458E8" w:rsidP="00CD5986">
      <w:pPr>
        <w:pStyle w:val="BodyText2"/>
        <w:numPr>
          <w:ilvl w:val="0"/>
          <w:numId w:val="55"/>
        </w:numPr>
      </w:pPr>
      <w:r w:rsidRPr="00381A83">
        <w:t xml:space="preserve">The construction </w:t>
      </w:r>
      <w:r>
        <w:t>or</w:t>
      </w:r>
      <w:r w:rsidRPr="00381A83">
        <w:t xml:space="preserve"> alteration of waterfront structures (docks, davits).</w:t>
      </w:r>
    </w:p>
    <w:p w14:paraId="151E1CE1" w14:textId="77777777" w:rsidR="000458E8" w:rsidRPr="00381A83" w:rsidRDefault="000458E8" w:rsidP="00CD5986">
      <w:pPr>
        <w:pStyle w:val="BodyText2"/>
        <w:numPr>
          <w:ilvl w:val="0"/>
          <w:numId w:val="55"/>
        </w:numPr>
      </w:pPr>
      <w:r w:rsidRPr="00381A83">
        <w:t>The construction/replacement of boat lifts/davits of docks.</w:t>
      </w:r>
    </w:p>
    <w:p w14:paraId="3F469B69" w14:textId="3755D01D" w:rsidR="000458E8" w:rsidRPr="00AE6BF1" w:rsidRDefault="000458E8" w:rsidP="00850D43">
      <w:pPr>
        <w:pStyle w:val="Heading3"/>
      </w:pPr>
      <w:bookmarkStart w:id="14" w:name="_Toc395003907"/>
      <w:r w:rsidRPr="00AE6BF1">
        <w:t>Review Procedures</w:t>
      </w:r>
      <w:bookmarkEnd w:id="12"/>
      <w:bookmarkEnd w:id="13"/>
      <w:bookmarkEnd w:id="14"/>
      <w:r w:rsidR="00A121AA">
        <w:t>.</w:t>
      </w:r>
    </w:p>
    <w:p w14:paraId="27B7B308" w14:textId="3D9135C1" w:rsidR="000458E8" w:rsidRDefault="003A7A29" w:rsidP="00CD5986">
      <w:pPr>
        <w:pStyle w:val="BodyText2"/>
        <w:numPr>
          <w:ilvl w:val="0"/>
          <w:numId w:val="56"/>
        </w:numPr>
      </w:pPr>
      <w:bookmarkStart w:id="15" w:name="_Toc389144426"/>
      <w:bookmarkStart w:id="16" w:name="_Toc389632643"/>
      <w:r>
        <w:t>T</w:t>
      </w:r>
      <w:r w:rsidR="000458E8">
        <w:t>he Department Director review</w:t>
      </w:r>
      <w:r>
        <w:t>s</w:t>
      </w:r>
      <w:r w:rsidR="000458E8">
        <w:t xml:space="preserve"> and act</w:t>
      </w:r>
      <w:r>
        <w:t>s</w:t>
      </w:r>
      <w:r w:rsidR="000458E8">
        <w:t xml:space="preserve"> on </w:t>
      </w:r>
      <w:r>
        <w:t>Minor Certificates of Appropriateness</w:t>
      </w:r>
      <w:r w:rsidR="000458E8">
        <w:t>.</w:t>
      </w:r>
    </w:p>
    <w:p w14:paraId="4D5C0043" w14:textId="258D3A30" w:rsidR="000458E8" w:rsidRDefault="000458E8" w:rsidP="00CD5986">
      <w:pPr>
        <w:pStyle w:val="BodyText2"/>
        <w:numPr>
          <w:ilvl w:val="0"/>
          <w:numId w:val="56"/>
        </w:numPr>
      </w:pPr>
      <w:r>
        <w:t xml:space="preserve">Applications that do not qualify for administrative approval </w:t>
      </w:r>
      <w:r w:rsidR="003A7A29">
        <w:t xml:space="preserve">are </w:t>
      </w:r>
      <w:r>
        <w:t xml:space="preserve">forwarded </w:t>
      </w:r>
      <w:r w:rsidRPr="00123A66">
        <w:t xml:space="preserve">to </w:t>
      </w:r>
      <w:r w:rsidRPr="00381A83">
        <w:rPr>
          <w:bCs/>
        </w:rPr>
        <w:t xml:space="preserve">the </w:t>
      </w:r>
      <w:r>
        <w:t>H</w:t>
      </w:r>
      <w:r w:rsidRPr="00381A83">
        <w:rPr>
          <w:bCs/>
        </w:rPr>
        <w:t xml:space="preserve">istoric </w:t>
      </w:r>
      <w:r>
        <w:t>P</w:t>
      </w:r>
      <w:r w:rsidRPr="00381A83">
        <w:rPr>
          <w:bCs/>
        </w:rPr>
        <w:t xml:space="preserve">reservation </w:t>
      </w:r>
      <w:r>
        <w:t>B</w:t>
      </w:r>
      <w:r w:rsidRPr="00381A83">
        <w:rPr>
          <w:bCs/>
        </w:rPr>
        <w:t>oard</w:t>
      </w:r>
      <w:r>
        <w:t xml:space="preserve"> for review and approval.</w:t>
      </w:r>
    </w:p>
    <w:p w14:paraId="09C5F728" w14:textId="064A583F" w:rsidR="00EE6602" w:rsidRDefault="00EE6602" w:rsidP="00850D43">
      <w:pPr>
        <w:pStyle w:val="Heading3"/>
      </w:pPr>
      <w:bookmarkStart w:id="17" w:name="_Toc395003908"/>
      <w:r>
        <w:t>Review Criteria</w:t>
      </w:r>
      <w:r w:rsidR="00A121AA">
        <w:t>.</w:t>
      </w:r>
    </w:p>
    <w:p w14:paraId="5B206876" w14:textId="259BDF54" w:rsidR="00EE6602" w:rsidRPr="00EE6602" w:rsidRDefault="00EE6602" w:rsidP="00EE6602">
      <w:pPr>
        <w:pStyle w:val="BodyText2"/>
        <w:rPr>
          <w:rFonts w:eastAsia="Times New Roman"/>
        </w:rPr>
      </w:pPr>
      <w:r w:rsidRPr="00EE6602">
        <w:rPr>
          <w:rFonts w:eastAsia="Times New Roman"/>
        </w:rPr>
        <w:t>In approving or denying applications for certificates of appropriateness for alterations, new construction, demolition or relocation, the Historic Preservation Board shall consider:</w:t>
      </w:r>
    </w:p>
    <w:p w14:paraId="11FBDB26" w14:textId="77777777" w:rsidR="00EE6602" w:rsidRPr="00EE6602" w:rsidRDefault="00EE6602" w:rsidP="00CD5986">
      <w:pPr>
        <w:pStyle w:val="BodyText2"/>
        <w:numPr>
          <w:ilvl w:val="0"/>
          <w:numId w:val="57"/>
        </w:numPr>
        <w:rPr>
          <w:rFonts w:eastAsia="Times New Roman"/>
        </w:rPr>
      </w:pPr>
      <w:r w:rsidRPr="00EE6602">
        <w:rPr>
          <w:rFonts w:eastAsia="Times New Roman"/>
        </w:rPr>
        <w:t>The relationship between such work and other structures in the landmark Historical and Archaeological Overlay District, property listed with the National Register of Historic Places (listed after 01-01-17), in a historic vista protection area or on the historic landmark;</w:t>
      </w:r>
    </w:p>
    <w:p w14:paraId="214BF328" w14:textId="77777777" w:rsidR="00EE6602" w:rsidRPr="00EE6602" w:rsidRDefault="00EE6602" w:rsidP="00CD5986">
      <w:pPr>
        <w:pStyle w:val="BodyText2"/>
        <w:numPr>
          <w:ilvl w:val="0"/>
          <w:numId w:val="57"/>
        </w:numPr>
        <w:rPr>
          <w:rFonts w:eastAsia="Times New Roman"/>
        </w:rPr>
      </w:pPr>
      <w:r w:rsidRPr="00EE6602">
        <w:rPr>
          <w:rFonts w:eastAsia="Times New Roman"/>
        </w:rPr>
        <w:lastRenderedPageBreak/>
        <w:t>The effect of the proposed work on the Historical and Archaeological Overlay District, property listed on the National Register of Historic Places (listed after 01-01-17), in a historic vista protection area or historic landmark upon which such work is to be done;</w:t>
      </w:r>
    </w:p>
    <w:p w14:paraId="3DF2F4E1" w14:textId="77777777" w:rsidR="00EE6602" w:rsidRPr="00EE6602" w:rsidRDefault="00EE6602" w:rsidP="00CD5986">
      <w:pPr>
        <w:pStyle w:val="BodyText2"/>
        <w:numPr>
          <w:ilvl w:val="0"/>
          <w:numId w:val="57"/>
        </w:numPr>
        <w:rPr>
          <w:rFonts w:eastAsia="Times New Roman"/>
        </w:rPr>
      </w:pPr>
      <w:r w:rsidRPr="00EE6602">
        <w:rPr>
          <w:rFonts w:eastAsia="Times New Roman"/>
        </w:rPr>
        <w:t>The extent to which the historic, architectural, or archaeological significance, architectural style, design, arrangement, texture, materials and color of the historic or archaeological landmark will be affected;</w:t>
      </w:r>
    </w:p>
    <w:p w14:paraId="7068583B" w14:textId="77777777" w:rsidR="00EE6602" w:rsidRPr="00EE6602" w:rsidRDefault="00EE6602" w:rsidP="00CD5986">
      <w:pPr>
        <w:pStyle w:val="BodyText2"/>
        <w:numPr>
          <w:ilvl w:val="0"/>
          <w:numId w:val="57"/>
        </w:numPr>
        <w:rPr>
          <w:rFonts w:eastAsia="Times New Roman"/>
        </w:rPr>
      </w:pPr>
      <w:r w:rsidRPr="00EE6602">
        <w:rPr>
          <w:rFonts w:eastAsia="Times New Roman"/>
        </w:rPr>
        <w:t>Whether the denial of a certificate of appropriateness would deprive the property owner of reasonable beneficial use of his property; and</w:t>
      </w:r>
    </w:p>
    <w:p w14:paraId="21794242" w14:textId="77777777" w:rsidR="00EE6602" w:rsidRPr="00EE6602" w:rsidRDefault="00EE6602" w:rsidP="00CD5986">
      <w:pPr>
        <w:pStyle w:val="BodyText2"/>
        <w:numPr>
          <w:ilvl w:val="0"/>
          <w:numId w:val="57"/>
        </w:numPr>
        <w:rPr>
          <w:rFonts w:eastAsia="Times New Roman"/>
        </w:rPr>
      </w:pPr>
      <w:r w:rsidRPr="00EE6602">
        <w:rPr>
          <w:rFonts w:eastAsia="Times New Roman"/>
        </w:rPr>
        <w:t>Whether the plans may be reasonably carried out by the applicant.</w:t>
      </w:r>
    </w:p>
    <w:p w14:paraId="501B9916" w14:textId="6D280CC6" w:rsidR="00EE6602" w:rsidRPr="00B021CE" w:rsidRDefault="00EE6602" w:rsidP="00EE6602">
      <w:pPr>
        <w:pStyle w:val="Heading3"/>
      </w:pPr>
      <w:bookmarkStart w:id="18" w:name="_Toc394928283"/>
      <w:bookmarkStart w:id="19" w:name="_Toc394932823"/>
      <w:bookmarkStart w:id="20" w:name="_Toc394401601"/>
      <w:bookmarkStart w:id="21" w:name="_Toc394403533"/>
      <w:bookmarkStart w:id="22" w:name="_Toc394928284"/>
      <w:bookmarkStart w:id="23" w:name="_Toc394932824"/>
      <w:bookmarkStart w:id="24" w:name="_Toc394401602"/>
      <w:bookmarkStart w:id="25" w:name="_Toc394403534"/>
      <w:bookmarkStart w:id="26" w:name="_Toc394928285"/>
      <w:bookmarkStart w:id="27" w:name="_Toc394932825"/>
      <w:bookmarkStart w:id="28" w:name="_Toc394928286"/>
      <w:bookmarkStart w:id="29" w:name="_Toc39493282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Submitting a </w:t>
      </w:r>
      <w:bookmarkStart w:id="30" w:name="_Hlk25009840"/>
      <w:r>
        <w:t xml:space="preserve">Certificate of Appropriateness </w:t>
      </w:r>
      <w:bookmarkEnd w:id="30"/>
      <w:r w:rsidRPr="00B021CE">
        <w:t>Application Packet</w:t>
      </w:r>
      <w:r w:rsidR="00A121AA">
        <w:t>.</w:t>
      </w:r>
    </w:p>
    <w:p w14:paraId="18E531ED" w14:textId="77777777" w:rsidR="00CE1948" w:rsidRPr="000179B0" w:rsidRDefault="00CE1948" w:rsidP="00CE1948">
      <w:pPr>
        <w:pStyle w:val="BodyText2"/>
      </w:pPr>
      <w:r w:rsidRPr="000179B0">
        <w:t xml:space="preserve">Complete and submit the following forms online at </w:t>
      </w:r>
      <w:hyperlink r:id="rId12" w:history="1">
        <w:r w:rsidRPr="000179B0">
          <w:rPr>
            <w:rStyle w:val="Hyperlink"/>
            <w:color w:val="auto"/>
            <w:u w:val="none"/>
          </w:rPr>
          <w:t>https://aca3.accela.com/manatee</w:t>
        </w:r>
      </w:hyperlink>
      <w:r>
        <w:rPr>
          <w:rStyle w:val="Hyperlink"/>
          <w:color w:val="auto"/>
          <w:u w:val="none"/>
        </w:rPr>
        <w:t>:</w:t>
      </w:r>
    </w:p>
    <w:p w14:paraId="4DCCB7E9" w14:textId="09B9A16D" w:rsidR="00EE6602" w:rsidRPr="00D46168" w:rsidRDefault="00207147" w:rsidP="00CD5986">
      <w:pPr>
        <w:pStyle w:val="BodyText2"/>
        <w:numPr>
          <w:ilvl w:val="0"/>
          <w:numId w:val="59"/>
        </w:numPr>
      </w:pPr>
      <w:r w:rsidRPr="004366D9">
        <w:rPr>
          <w:iCs/>
        </w:rPr>
        <w:t xml:space="preserve">From the list of Planning Applications on Accela, select </w:t>
      </w:r>
      <w:r w:rsidR="009F0CB6" w:rsidRPr="00CC3859">
        <w:t xml:space="preserve">Form </w:t>
      </w:r>
      <w:r w:rsidR="009F0CB6" w:rsidRPr="009A7BEA">
        <w:rPr>
          <w:i/>
          <w:iCs/>
        </w:rPr>
        <w:t>A1</w:t>
      </w:r>
      <w:r w:rsidR="00547B63">
        <w:rPr>
          <w:i/>
          <w:iCs/>
        </w:rPr>
        <w:t>3</w:t>
      </w:r>
      <w:r w:rsidR="009F0CB6" w:rsidRPr="009A7BEA">
        <w:rPr>
          <w:i/>
          <w:iCs/>
        </w:rPr>
        <w:t xml:space="preserve"> -</w:t>
      </w:r>
      <w:r w:rsidR="009F0CB6">
        <w:t xml:space="preserve"> </w:t>
      </w:r>
      <w:r w:rsidRPr="004366D9">
        <w:rPr>
          <w:i/>
        </w:rPr>
        <w:t>C</w:t>
      </w:r>
      <w:r w:rsidRPr="007C2616">
        <w:rPr>
          <w:i/>
        </w:rPr>
        <w:t>ert</w:t>
      </w:r>
      <w:r w:rsidRPr="0008177D">
        <w:rPr>
          <w:i/>
        </w:rPr>
        <w:t>ificate of Appropriateness</w:t>
      </w:r>
      <w:r w:rsidR="00547B63" w:rsidRPr="0008177D">
        <w:rPr>
          <w:i/>
        </w:rPr>
        <w:t xml:space="preserve"> </w:t>
      </w:r>
      <w:r w:rsidR="00547B63">
        <w:rPr>
          <w:i/>
        </w:rPr>
        <w:t xml:space="preserve">(Major) or </w:t>
      </w:r>
      <w:r w:rsidR="00547B63" w:rsidRPr="00CC3859">
        <w:t xml:space="preserve">Form </w:t>
      </w:r>
      <w:r w:rsidR="00547B63" w:rsidRPr="009B617B">
        <w:rPr>
          <w:i/>
          <w:iCs/>
        </w:rPr>
        <w:t>A1</w:t>
      </w:r>
      <w:r w:rsidR="00547B63">
        <w:rPr>
          <w:i/>
          <w:iCs/>
        </w:rPr>
        <w:t>4</w:t>
      </w:r>
      <w:r w:rsidR="00547B63" w:rsidRPr="009B617B">
        <w:rPr>
          <w:i/>
          <w:iCs/>
        </w:rPr>
        <w:t xml:space="preserve"> -</w:t>
      </w:r>
      <w:r w:rsidR="00547B63">
        <w:t xml:space="preserve"> </w:t>
      </w:r>
      <w:r w:rsidR="00547B63" w:rsidRPr="009B617B">
        <w:rPr>
          <w:i/>
        </w:rPr>
        <w:t xml:space="preserve">Certificate of Appropriateness </w:t>
      </w:r>
      <w:r w:rsidR="00547B63">
        <w:rPr>
          <w:i/>
        </w:rPr>
        <w:t xml:space="preserve">(Minor) </w:t>
      </w:r>
      <w:r w:rsidR="00547B63" w:rsidRPr="009A7BEA">
        <w:rPr>
          <w:iCs/>
        </w:rPr>
        <w:t>based on the type of application</w:t>
      </w:r>
      <w:r w:rsidRPr="006905CE">
        <w:t>. The</w:t>
      </w:r>
      <w:r w:rsidRPr="00793FA1">
        <w:t xml:space="preserve"> information must be entered directly into Accela.</w:t>
      </w:r>
    </w:p>
    <w:p w14:paraId="41B83418" w14:textId="07095D49" w:rsidR="00EE6602" w:rsidRPr="00D46168" w:rsidRDefault="009F0CB6" w:rsidP="00CD5986">
      <w:pPr>
        <w:pStyle w:val="BodyText2"/>
        <w:numPr>
          <w:ilvl w:val="0"/>
          <w:numId w:val="59"/>
        </w:numPr>
      </w:pPr>
      <w:r>
        <w:t xml:space="preserve">Complete </w:t>
      </w:r>
      <w:r w:rsidRPr="00D46168">
        <w:t xml:space="preserve">Form </w:t>
      </w:r>
      <w:r w:rsidRPr="009A7BEA">
        <w:rPr>
          <w:i/>
          <w:iCs/>
        </w:rPr>
        <w:t>B1</w:t>
      </w:r>
      <w:r w:rsidR="00E91106">
        <w:rPr>
          <w:i/>
          <w:iCs/>
        </w:rPr>
        <w:t>3</w:t>
      </w:r>
      <w:r w:rsidRPr="009A7BEA">
        <w:rPr>
          <w:i/>
          <w:iCs/>
        </w:rPr>
        <w:t xml:space="preserve"> -</w:t>
      </w:r>
      <w:r>
        <w:t xml:space="preserve"> </w:t>
      </w:r>
      <w:r w:rsidR="00FA2E31" w:rsidRPr="00D46168">
        <w:rPr>
          <w:i/>
        </w:rPr>
        <w:t xml:space="preserve">Certificate of Appropriateness </w:t>
      </w:r>
      <w:r w:rsidR="00EE6602" w:rsidRPr="00D46168">
        <w:rPr>
          <w:i/>
        </w:rPr>
        <w:t>Application Worksheet</w:t>
      </w:r>
      <w:r w:rsidR="00A53C4E">
        <w:t xml:space="preserve"> for both Minor and Major </w:t>
      </w:r>
      <w:r w:rsidR="006F31E7">
        <w:t xml:space="preserve">COA </w:t>
      </w:r>
      <w:r w:rsidR="00A53C4E">
        <w:t>applications.</w:t>
      </w:r>
    </w:p>
    <w:p w14:paraId="6D7F9B24" w14:textId="127DFC50" w:rsidR="00CE1948" w:rsidRDefault="009F0CB6" w:rsidP="00CD5986">
      <w:pPr>
        <w:pStyle w:val="BodyText2"/>
        <w:numPr>
          <w:ilvl w:val="0"/>
          <w:numId w:val="59"/>
        </w:numPr>
      </w:pPr>
      <w:r>
        <w:t xml:space="preserve">Complete </w:t>
      </w:r>
      <w:r w:rsidR="00EE6602" w:rsidRPr="00D46168">
        <w:t xml:space="preserve">the </w:t>
      </w:r>
      <w:r w:rsidRPr="00D46168">
        <w:t xml:space="preserve">Form </w:t>
      </w:r>
      <w:r w:rsidRPr="009A7BEA">
        <w:rPr>
          <w:i/>
          <w:iCs/>
        </w:rPr>
        <w:t>C1</w:t>
      </w:r>
      <w:r w:rsidR="00E91106">
        <w:rPr>
          <w:i/>
          <w:iCs/>
        </w:rPr>
        <w:t>3</w:t>
      </w:r>
      <w:r w:rsidRPr="009A7BEA">
        <w:rPr>
          <w:i/>
          <w:iCs/>
        </w:rPr>
        <w:t xml:space="preserve"> -</w:t>
      </w:r>
      <w:r>
        <w:t xml:space="preserve"> </w:t>
      </w:r>
      <w:r w:rsidR="00FA2E31" w:rsidRPr="00D46168">
        <w:rPr>
          <w:i/>
        </w:rPr>
        <w:t xml:space="preserve">Certificate of Appropriateness </w:t>
      </w:r>
      <w:r w:rsidR="00EE6602" w:rsidRPr="00D46168">
        <w:rPr>
          <w:i/>
        </w:rPr>
        <w:t>Application Checklist</w:t>
      </w:r>
      <w:r w:rsidR="006F31E7" w:rsidRPr="006F31E7">
        <w:t xml:space="preserve"> </w:t>
      </w:r>
      <w:r w:rsidR="006F31E7">
        <w:t>for both Minor and Major COA applications</w:t>
      </w:r>
      <w:r w:rsidR="00EE6602" w:rsidRPr="006529DE">
        <w:t>.</w:t>
      </w:r>
    </w:p>
    <w:p w14:paraId="52B35D60" w14:textId="623384EE" w:rsidR="00EE6602" w:rsidRPr="00CE1948" w:rsidRDefault="00EE6602" w:rsidP="00CE1948">
      <w:pPr>
        <w:pStyle w:val="BodyText2"/>
      </w:pPr>
      <w:r w:rsidRPr="00CE1948">
        <w:t>Collect all the required affidavits, certificates, reports and plans listed in the Checklist. You will be required to attach them to your electronic submission.</w:t>
      </w:r>
    </w:p>
    <w:p w14:paraId="461211DA" w14:textId="77777777" w:rsidR="00EE6602" w:rsidRPr="00CE1948" w:rsidRDefault="00EE6602" w:rsidP="00CE1948">
      <w:pPr>
        <w:pStyle w:val="BodyText2"/>
      </w:pPr>
      <w:r w:rsidRPr="00CE1948">
        <w:t xml:space="preserve">Be prepared to pay the fees indicated in the Manatee County Fees schedules. All fees required at the time of application submission must be paid in order for an application to be accepted. Online payment may be by credit card or </w:t>
      </w:r>
      <w:proofErr w:type="spellStart"/>
      <w:r w:rsidRPr="00CE1948">
        <w:t>eCheck</w:t>
      </w:r>
      <w:proofErr w:type="spellEnd"/>
      <w:r w:rsidRPr="00CE1948">
        <w:t>.</w:t>
      </w:r>
      <w:bookmarkEnd w:id="3"/>
      <w:bookmarkEnd w:id="4"/>
      <w:bookmarkEnd w:id="5"/>
      <w:bookmarkEnd w:id="6"/>
      <w:bookmarkEnd w:id="7"/>
      <w:bookmarkEnd w:id="8"/>
    </w:p>
    <w:sectPr w:rsidR="00EE6602" w:rsidRPr="00CE1948" w:rsidSect="00C453CB">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1080" w:header="432" w:footer="43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0223" w14:textId="77777777" w:rsidR="006269CE" w:rsidRDefault="006269CE" w:rsidP="00704136">
      <w:pPr>
        <w:spacing w:after="0"/>
      </w:pPr>
      <w:r>
        <w:separator/>
      </w:r>
    </w:p>
    <w:p w14:paraId="0D4CEEE1" w14:textId="77777777" w:rsidR="006269CE" w:rsidRDefault="006269CE"/>
  </w:endnote>
  <w:endnote w:type="continuationSeparator" w:id="0">
    <w:p w14:paraId="3085EEE9" w14:textId="77777777" w:rsidR="006269CE" w:rsidRDefault="006269CE" w:rsidP="00704136">
      <w:pPr>
        <w:spacing w:after="0"/>
      </w:pPr>
      <w:r>
        <w:continuationSeparator/>
      </w:r>
    </w:p>
    <w:p w14:paraId="1D2B1EEA" w14:textId="77777777" w:rsidR="006269CE" w:rsidRDefault="006269CE"/>
  </w:endnote>
  <w:endnote w:type="continuationNotice" w:id="1">
    <w:p w14:paraId="303ECC78" w14:textId="77777777" w:rsidR="006269CE" w:rsidRDefault="006269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BCD" w14:textId="77777777" w:rsidR="00B01CB1" w:rsidRDefault="00B01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43290AEA"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C453CB" w:rsidRPr="00C453CB">
      <w:rPr>
        <w:rFonts w:asciiTheme="minorHAnsi" w:hAnsiTheme="minorHAnsi"/>
        <w:sz w:val="18"/>
        <w:szCs w:val="18"/>
      </w:rPr>
      <w:t xml:space="preserve">Page </w:t>
    </w:r>
    <w:r w:rsidR="00C453CB" w:rsidRPr="00C453CB">
      <w:rPr>
        <w:rFonts w:asciiTheme="minorHAnsi" w:hAnsiTheme="minorHAnsi"/>
        <w:b/>
        <w:bCs/>
        <w:sz w:val="18"/>
        <w:szCs w:val="18"/>
      </w:rPr>
      <w:fldChar w:fldCharType="begin"/>
    </w:r>
    <w:r w:rsidR="00C453CB" w:rsidRPr="00C453CB">
      <w:rPr>
        <w:rFonts w:asciiTheme="minorHAnsi" w:hAnsiTheme="minorHAnsi"/>
        <w:b/>
        <w:bCs/>
        <w:sz w:val="18"/>
        <w:szCs w:val="18"/>
      </w:rPr>
      <w:instrText xml:space="preserve"> PAGE  \* Arabic  \* MERGEFORMAT </w:instrText>
    </w:r>
    <w:r w:rsidR="00C453CB" w:rsidRPr="00C453CB">
      <w:rPr>
        <w:rFonts w:asciiTheme="minorHAnsi" w:hAnsiTheme="minorHAnsi"/>
        <w:b/>
        <w:bCs/>
        <w:sz w:val="18"/>
        <w:szCs w:val="18"/>
      </w:rPr>
      <w:fldChar w:fldCharType="separate"/>
    </w:r>
    <w:r w:rsidR="00C453CB" w:rsidRPr="00C453CB">
      <w:rPr>
        <w:rFonts w:asciiTheme="minorHAnsi" w:hAnsiTheme="minorHAnsi"/>
        <w:b/>
        <w:bCs/>
        <w:noProof/>
        <w:sz w:val="18"/>
        <w:szCs w:val="18"/>
      </w:rPr>
      <w:t>1</w:t>
    </w:r>
    <w:r w:rsidR="00C453CB" w:rsidRPr="00C453CB">
      <w:rPr>
        <w:rFonts w:asciiTheme="minorHAnsi" w:hAnsiTheme="minorHAnsi"/>
        <w:b/>
        <w:bCs/>
        <w:sz w:val="18"/>
        <w:szCs w:val="18"/>
      </w:rPr>
      <w:fldChar w:fldCharType="end"/>
    </w:r>
    <w:r w:rsidR="00C453CB" w:rsidRPr="00C453CB">
      <w:rPr>
        <w:rFonts w:asciiTheme="minorHAnsi" w:hAnsiTheme="minorHAnsi"/>
        <w:sz w:val="18"/>
        <w:szCs w:val="18"/>
      </w:rPr>
      <w:t xml:space="preserve"> of </w:t>
    </w:r>
    <w:r w:rsidR="00C453CB" w:rsidRPr="00C453CB">
      <w:rPr>
        <w:rFonts w:asciiTheme="minorHAnsi" w:hAnsiTheme="minorHAnsi"/>
        <w:b/>
        <w:bCs/>
        <w:sz w:val="18"/>
        <w:szCs w:val="18"/>
      </w:rPr>
      <w:fldChar w:fldCharType="begin"/>
    </w:r>
    <w:r w:rsidR="00C453CB" w:rsidRPr="00C453CB">
      <w:rPr>
        <w:rFonts w:asciiTheme="minorHAnsi" w:hAnsiTheme="minorHAnsi"/>
        <w:b/>
        <w:bCs/>
        <w:sz w:val="18"/>
        <w:szCs w:val="18"/>
      </w:rPr>
      <w:instrText xml:space="preserve"> NUMPAGES  \* Arabic  \* MERGEFORMAT </w:instrText>
    </w:r>
    <w:r w:rsidR="00C453CB" w:rsidRPr="00C453CB">
      <w:rPr>
        <w:rFonts w:asciiTheme="minorHAnsi" w:hAnsiTheme="minorHAnsi"/>
        <w:b/>
        <w:bCs/>
        <w:sz w:val="18"/>
        <w:szCs w:val="18"/>
      </w:rPr>
      <w:fldChar w:fldCharType="separate"/>
    </w:r>
    <w:r w:rsidR="00C453CB" w:rsidRPr="00C453CB">
      <w:rPr>
        <w:rFonts w:asciiTheme="minorHAnsi" w:hAnsiTheme="minorHAnsi"/>
        <w:b/>
        <w:bCs/>
        <w:noProof/>
        <w:sz w:val="18"/>
        <w:szCs w:val="18"/>
      </w:rPr>
      <w:t>2</w:t>
    </w:r>
    <w:r w:rsidR="00C453CB" w:rsidRPr="00C453CB">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A9BB" w14:textId="77777777" w:rsidR="00B01CB1" w:rsidRDefault="00B01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0047" w14:textId="77777777" w:rsidR="006269CE" w:rsidRDefault="006269CE" w:rsidP="00704136">
      <w:pPr>
        <w:spacing w:after="0"/>
      </w:pPr>
      <w:r>
        <w:separator/>
      </w:r>
    </w:p>
    <w:p w14:paraId="73567D1B" w14:textId="77777777" w:rsidR="006269CE" w:rsidRDefault="006269CE"/>
  </w:footnote>
  <w:footnote w:type="continuationSeparator" w:id="0">
    <w:p w14:paraId="216EE5E9" w14:textId="77777777" w:rsidR="006269CE" w:rsidRDefault="006269CE" w:rsidP="00704136">
      <w:pPr>
        <w:spacing w:after="0"/>
      </w:pPr>
      <w:r>
        <w:continuationSeparator/>
      </w:r>
    </w:p>
    <w:p w14:paraId="3676EE37" w14:textId="77777777" w:rsidR="006269CE" w:rsidRDefault="006269CE"/>
  </w:footnote>
  <w:footnote w:type="continuationNotice" w:id="1">
    <w:p w14:paraId="374DB7D7" w14:textId="77777777" w:rsidR="006269CE" w:rsidRDefault="006269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DBFD" w14:textId="77777777" w:rsidR="00B01CB1" w:rsidRDefault="00B01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B149" w14:textId="7E436E77" w:rsidR="00C453CB" w:rsidRDefault="00C453CB" w:rsidP="00C453CB">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8240" behindDoc="0" locked="0" layoutInCell="1" allowOverlap="1" wp14:anchorId="7DA6B452" wp14:editId="12855399">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B7E3555" w14:textId="390B17F8" w:rsidR="00C453CB" w:rsidRDefault="00B01CB1" w:rsidP="00C453C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C453CB">
      <w:rPr>
        <w:rFonts w:ascii="Calibri" w:eastAsia="Times New Roman" w:hAnsi="Calibri" w:cs="Calibri"/>
        <w:color w:val="000000"/>
        <w:szCs w:val="24"/>
        <w:lang w:val="x-none"/>
      </w:rPr>
      <w:t xml:space="preserve"> </w:t>
    </w:r>
  </w:p>
  <w:p w14:paraId="73D0C26F" w14:textId="5D28FB00" w:rsidR="00C453CB" w:rsidRDefault="00B01CB1" w:rsidP="00C453C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C453CB">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C453CB">
      <w:rPr>
        <w:rFonts w:ascii="Calibri" w:eastAsia="Times New Roman" w:hAnsi="Calibri" w:cs="Calibri"/>
        <w:color w:val="000000"/>
        <w:szCs w:val="24"/>
        <w:lang w:val="x-none"/>
      </w:rPr>
      <w:t xml:space="preserve"> </w:t>
    </w:r>
  </w:p>
  <w:p w14:paraId="2AC0243F" w14:textId="77777777" w:rsidR="00C453CB" w:rsidRDefault="00C453CB" w:rsidP="00C453CB">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283B4B8C" w14:textId="77777777" w:rsidR="00C453CB" w:rsidRDefault="00C453CB" w:rsidP="00C453CB">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6645CDC1" w14:textId="268E1C9D" w:rsidR="0096134B" w:rsidRPr="00C453CB" w:rsidRDefault="00C453CB" w:rsidP="00C453CB">
    <w:pPr>
      <w:spacing w:after="200" w:line="276" w:lineRule="auto"/>
      <w:jc w:val="right"/>
    </w:pPr>
    <w:hyperlink r:id="rId2" w:history="1">
      <w:r>
        <w:rPr>
          <w:rStyle w:val="Hyperlink"/>
          <w:rFonts w:ascii="Calibri" w:eastAsia="Times New Roman" w:hAnsi="Calibri" w:cs="Calibri"/>
          <w:b/>
          <w:szCs w:val="24"/>
          <w:lang w:val="x-none"/>
        </w:rPr>
        <w:t>www.mymanatee.org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F00F" w14:textId="77777777" w:rsidR="00B01CB1" w:rsidRDefault="00B01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56060019">
    <w:abstractNumId w:val="59"/>
  </w:num>
  <w:num w:numId="2" w16cid:durableId="2129278244">
    <w:abstractNumId w:val="75"/>
  </w:num>
  <w:num w:numId="3" w16cid:durableId="1033654987">
    <w:abstractNumId w:val="46"/>
  </w:num>
  <w:num w:numId="4" w16cid:durableId="1776902703">
    <w:abstractNumId w:val="50"/>
  </w:num>
  <w:num w:numId="5" w16cid:durableId="2046327192">
    <w:abstractNumId w:val="1"/>
  </w:num>
  <w:num w:numId="6" w16cid:durableId="1095856468">
    <w:abstractNumId w:val="0"/>
  </w:num>
  <w:num w:numId="7" w16cid:durableId="1507936790">
    <w:abstractNumId w:val="2"/>
  </w:num>
  <w:num w:numId="8" w16cid:durableId="860241163">
    <w:abstractNumId w:val="45"/>
  </w:num>
  <w:num w:numId="9" w16cid:durableId="1902861207">
    <w:abstractNumId w:val="82"/>
  </w:num>
  <w:num w:numId="10" w16cid:durableId="2132245253">
    <w:abstractNumId w:val="38"/>
  </w:num>
  <w:num w:numId="11" w16cid:durableId="2024014897">
    <w:abstractNumId w:val="28"/>
  </w:num>
  <w:num w:numId="12" w16cid:durableId="513570214">
    <w:abstractNumId w:val="67"/>
  </w:num>
  <w:num w:numId="13" w16cid:durableId="728571570">
    <w:abstractNumId w:val="48"/>
  </w:num>
  <w:num w:numId="14" w16cid:durableId="1290284953">
    <w:abstractNumId w:val="51"/>
  </w:num>
  <w:num w:numId="15" w16cid:durableId="469565994">
    <w:abstractNumId w:val="31"/>
  </w:num>
  <w:num w:numId="16" w16cid:durableId="728841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079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5765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7330492">
    <w:abstractNumId w:val="44"/>
  </w:num>
  <w:num w:numId="20" w16cid:durableId="593703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206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710879">
    <w:abstractNumId w:val="76"/>
  </w:num>
  <w:num w:numId="23" w16cid:durableId="9164797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00467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8972435">
    <w:abstractNumId w:val="8"/>
  </w:num>
  <w:num w:numId="26" w16cid:durableId="1674913096">
    <w:abstractNumId w:val="72"/>
  </w:num>
  <w:num w:numId="27" w16cid:durableId="2006976125">
    <w:abstractNumId w:val="20"/>
  </w:num>
  <w:num w:numId="28" w16cid:durableId="1170678665">
    <w:abstractNumId w:val="30"/>
  </w:num>
  <w:num w:numId="29" w16cid:durableId="53042357">
    <w:abstractNumId w:val="65"/>
  </w:num>
  <w:num w:numId="30" w16cid:durableId="584922741">
    <w:abstractNumId w:val="37"/>
  </w:num>
  <w:num w:numId="31" w16cid:durableId="8427465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1629270">
    <w:abstractNumId w:val="21"/>
  </w:num>
  <w:num w:numId="33" w16cid:durableId="2006778114">
    <w:abstractNumId w:val="32"/>
  </w:num>
  <w:num w:numId="34" w16cid:durableId="2129422951">
    <w:abstractNumId w:val="83"/>
  </w:num>
  <w:num w:numId="35" w16cid:durableId="2698227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0000094">
    <w:abstractNumId w:val="26"/>
  </w:num>
  <w:num w:numId="37" w16cid:durableId="21053272">
    <w:abstractNumId w:val="55"/>
  </w:num>
  <w:num w:numId="38" w16cid:durableId="1040325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0394789">
    <w:abstractNumId w:val="13"/>
  </w:num>
  <w:num w:numId="40" w16cid:durableId="1035811258">
    <w:abstractNumId w:val="56"/>
  </w:num>
  <w:num w:numId="41" w16cid:durableId="500389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2643693">
    <w:abstractNumId w:val="24"/>
  </w:num>
  <w:num w:numId="43" w16cid:durableId="1562671256">
    <w:abstractNumId w:val="71"/>
  </w:num>
  <w:num w:numId="44" w16cid:durableId="935138958">
    <w:abstractNumId w:val="6"/>
  </w:num>
  <w:num w:numId="45" w16cid:durableId="1833056750">
    <w:abstractNumId w:val="23"/>
  </w:num>
  <w:num w:numId="46" w16cid:durableId="1718817548">
    <w:abstractNumId w:val="9"/>
  </w:num>
  <w:num w:numId="47" w16cid:durableId="561058739">
    <w:abstractNumId w:val="77"/>
  </w:num>
  <w:num w:numId="48" w16cid:durableId="1956136379">
    <w:abstractNumId w:val="47"/>
  </w:num>
  <w:num w:numId="49" w16cid:durableId="363292859">
    <w:abstractNumId w:val="10"/>
  </w:num>
  <w:num w:numId="50" w16cid:durableId="1219516393">
    <w:abstractNumId w:val="80"/>
  </w:num>
  <w:num w:numId="51" w16cid:durableId="21468504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28055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77884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6513903">
    <w:abstractNumId w:val="64"/>
  </w:num>
  <w:num w:numId="55" w16cid:durableId="1294210530">
    <w:abstractNumId w:val="61"/>
  </w:num>
  <w:num w:numId="56" w16cid:durableId="730232890">
    <w:abstractNumId w:val="58"/>
  </w:num>
  <w:num w:numId="57" w16cid:durableId="229539132">
    <w:abstractNumId w:val="43"/>
  </w:num>
  <w:num w:numId="58" w16cid:durableId="5789235">
    <w:abstractNumId w:val="42"/>
  </w:num>
  <w:num w:numId="59" w16cid:durableId="1237936186">
    <w:abstractNumId w:val="39"/>
  </w:num>
  <w:num w:numId="60" w16cid:durableId="10542358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687065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29704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077212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387927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22337894">
    <w:abstractNumId w:val="41"/>
  </w:num>
  <w:num w:numId="66" w16cid:durableId="990406223">
    <w:abstractNumId w:val="35"/>
  </w:num>
  <w:num w:numId="67" w16cid:durableId="1004895706">
    <w:abstractNumId w:val="68"/>
  </w:num>
  <w:num w:numId="68" w16cid:durableId="717316926">
    <w:abstractNumId w:val="63"/>
  </w:num>
  <w:num w:numId="69" w16cid:durableId="442728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26969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11653489">
    <w:abstractNumId w:val="18"/>
  </w:num>
  <w:num w:numId="72" w16cid:durableId="364409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08362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17936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7244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31129262">
    <w:abstractNumId w:val="36"/>
  </w:num>
  <w:num w:numId="77" w16cid:durableId="194924635">
    <w:abstractNumId w:val="81"/>
  </w:num>
  <w:num w:numId="78" w16cid:durableId="11076984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9986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41976661">
    <w:abstractNumId w:val="57"/>
  </w:num>
  <w:num w:numId="81" w16cid:durableId="1526868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737644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56736667">
    <w:abstractNumId w:val="70"/>
  </w:num>
  <w:num w:numId="84" w16cid:durableId="1577351218">
    <w:abstractNumId w:val="79"/>
  </w:num>
  <w:num w:numId="85" w16cid:durableId="12610653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40567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24920181">
    <w:abstractNumId w:val="17"/>
  </w:num>
  <w:num w:numId="88" w16cid:durableId="882988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46060280">
    <w:abstractNumId w:val="33"/>
  </w:num>
  <w:num w:numId="90" w16cid:durableId="1876774018">
    <w:abstractNumId w:val="62"/>
  </w:num>
  <w:num w:numId="91" w16cid:durableId="13729216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88306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403889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521573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413045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28958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969186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796538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17327548">
    <w:abstractNumId w:val="12"/>
  </w:num>
  <w:num w:numId="100" w16cid:durableId="592008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97157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03546969">
    <w:abstractNumId w:val="29"/>
  </w:num>
  <w:num w:numId="103" w16cid:durableId="1490320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05886410">
    <w:abstractNumId w:val="74"/>
  </w:num>
  <w:num w:numId="105" w16cid:durableId="11001070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38076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414566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31878373">
    <w:abstractNumId w:val="66"/>
  </w:num>
  <w:num w:numId="109" w16cid:durableId="1865277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37677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132505536">
    <w:abstractNumId w:val="16"/>
  </w:num>
  <w:num w:numId="112" w16cid:durableId="1268465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7206384">
    <w:abstractNumId w:val="11"/>
  </w:num>
  <w:num w:numId="114" w16cid:durableId="1058015110">
    <w:abstractNumId w:val="53"/>
  </w:num>
  <w:num w:numId="115" w16cid:durableId="1800339493">
    <w:abstractNumId w:val="78"/>
  </w:num>
  <w:num w:numId="116" w16cid:durableId="1968779296">
    <w:abstractNumId w:val="5"/>
  </w:num>
  <w:num w:numId="117" w16cid:durableId="1220164888">
    <w:abstractNumId w:val="69"/>
  </w:num>
  <w:num w:numId="118" w16cid:durableId="9489717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59605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743694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4210616">
    <w:abstractNumId w:val="14"/>
  </w:num>
  <w:num w:numId="122" w16cid:durableId="18559212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06897790">
    <w:abstractNumId w:val="40"/>
  </w:num>
  <w:num w:numId="124" w16cid:durableId="552422461">
    <w:abstractNumId w:val="73"/>
  </w:num>
  <w:num w:numId="125" w16cid:durableId="226234525">
    <w:abstractNumId w:val="49"/>
  </w:num>
  <w:num w:numId="126" w16cid:durableId="1270743408">
    <w:abstractNumId w:val="7"/>
  </w:num>
  <w:num w:numId="127" w16cid:durableId="1741364212">
    <w:abstractNumId w:val="27"/>
  </w:num>
  <w:num w:numId="128" w16cid:durableId="1650093761">
    <w:abstractNumId w:val="52"/>
  </w:num>
  <w:num w:numId="129" w16cid:durableId="1962299933">
    <w:abstractNumId w:val="54"/>
  </w:num>
  <w:num w:numId="130" w16cid:durableId="1397893369">
    <w:abstractNumId w:val="60"/>
  </w:num>
  <w:num w:numId="131" w16cid:durableId="978219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30346435">
    <w:abstractNumId w:val="15"/>
  </w:num>
  <w:num w:numId="133" w16cid:durableId="4461242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490820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556498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092894794">
    <w:abstractNumId w:val="19"/>
  </w:num>
  <w:num w:numId="137" w16cid:durableId="46952537">
    <w:abstractNumId w:val="22"/>
  </w:num>
  <w:num w:numId="138" w16cid:durableId="12914736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679363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05389117">
    <w:abstractNumId w:val="34"/>
  </w:num>
  <w:num w:numId="141" w16cid:durableId="1388451926">
    <w:abstractNumId w:val="25"/>
  </w:num>
  <w:num w:numId="142" w16cid:durableId="2018656408">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8Y28GKrPpHybNcS9ye5ys2+xkwSRrrbeBrT/AMsbI0HQwXGKhgKneL2571kOV82Pkm3wRCzvCNwn8b66xMK8dw==" w:salt="w+mUPsyyB1/DgHIChCyQN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07D8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69CE"/>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499E"/>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9F7EEB"/>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1CB1"/>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5E17"/>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3CB"/>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1969314243">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a3.accela.com/manate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3.xml><?xml version="1.0" encoding="utf-8"?>
<ds:datastoreItem xmlns:ds="http://schemas.openxmlformats.org/officeDocument/2006/customXml" ds:itemID="{55FA0B19-D323-4C78-98EF-282BD66EA1F8}">
  <ds:schemaRefs>
    <ds:schemaRef ds:uri="http://schemas.openxmlformats.org/officeDocument/2006/bibliography"/>
  </ds:schemaRefs>
</ds:datastoreItem>
</file>

<file path=customXml/itemProps4.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4417</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2025-11-26T12:47:00Z</dcterms:created>
  <dcterms:modified xsi:type="dcterms:W3CDTF">2025-11-26T15:46:00Z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