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0E7A" w14:textId="2E6BB297" w:rsidR="0097235C" w:rsidRDefault="007749B3" w:rsidP="006D1DF7">
      <w:pPr>
        <w:spacing w:after="0"/>
        <w:rPr>
          <w:b/>
          <w:bCs/>
          <w:color w:val="FF0000"/>
          <w:u w:val="single"/>
        </w:rPr>
      </w:pPr>
      <w:r w:rsidRPr="00A43A8C">
        <w:rPr>
          <w:noProof/>
        </w:rPr>
        <w:drawing>
          <wp:anchor distT="0" distB="0" distL="114300" distR="114300" simplePos="0" relativeHeight="251666432" behindDoc="1" locked="0" layoutInCell="1" allowOverlap="1" wp14:anchorId="39C55A42" wp14:editId="74AF1076">
            <wp:simplePos x="0" y="0"/>
            <wp:positionH relativeFrom="column">
              <wp:posOffset>-202565</wp:posOffset>
            </wp:positionH>
            <wp:positionV relativeFrom="paragraph">
              <wp:posOffset>-748030</wp:posOffset>
            </wp:positionV>
            <wp:extent cx="1219202" cy="69596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2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785A8" w14:textId="6B18B885" w:rsidR="006D1DF7" w:rsidRPr="00F45813" w:rsidRDefault="006D1DF7" w:rsidP="006D1DF7">
      <w:pPr>
        <w:spacing w:after="0"/>
        <w:rPr>
          <w:b/>
          <w:bCs/>
          <w:color w:val="000000" w:themeColor="text1"/>
          <w:u w:val="single"/>
        </w:rPr>
      </w:pPr>
      <w:r w:rsidRPr="00F45813">
        <w:rPr>
          <w:b/>
          <w:bCs/>
          <w:color w:val="000000" w:themeColor="text1"/>
          <w:u w:val="single"/>
        </w:rPr>
        <w:t>Background</w:t>
      </w:r>
    </w:p>
    <w:p w14:paraId="3DD64AA8" w14:textId="41F87A1A" w:rsidR="00BC421E" w:rsidRPr="00F45813" w:rsidRDefault="00B61E73" w:rsidP="006D1DF7">
      <w:pPr>
        <w:spacing w:after="0"/>
        <w:rPr>
          <w:color w:val="000000" w:themeColor="text1"/>
        </w:rPr>
      </w:pPr>
      <w:r>
        <w:rPr>
          <w:color w:val="000000" w:themeColor="text1"/>
        </w:rPr>
        <w:t>The Community Development Block Grant (</w:t>
      </w:r>
      <w:r w:rsidR="00AC76A8">
        <w:rPr>
          <w:color w:val="000000" w:themeColor="text1"/>
        </w:rPr>
        <w:t>CDBG) and</w:t>
      </w:r>
      <w:r>
        <w:rPr>
          <w:color w:val="000000" w:themeColor="text1"/>
        </w:rPr>
        <w:t xml:space="preserve"> t</w:t>
      </w:r>
      <w:r w:rsidR="00BC421E" w:rsidRPr="00F45813">
        <w:rPr>
          <w:color w:val="000000" w:themeColor="text1"/>
        </w:rPr>
        <w:t xml:space="preserve">he HOME Investment Partnerships Program (HOME) </w:t>
      </w:r>
      <w:r>
        <w:rPr>
          <w:color w:val="000000" w:themeColor="text1"/>
        </w:rPr>
        <w:t>provide</w:t>
      </w:r>
      <w:r w:rsidR="00BC421E" w:rsidRPr="00F45813">
        <w:rPr>
          <w:color w:val="000000" w:themeColor="text1"/>
        </w:rPr>
        <w:t xml:space="preserve"> formula grants to states and localities that communities use - often in partnership with local nonprofit groups - to fund a wide range of activities including building, buying, and/or rehabilitating</w:t>
      </w:r>
      <w:r>
        <w:rPr>
          <w:color w:val="000000" w:themeColor="text1"/>
        </w:rPr>
        <w:t xml:space="preserve"> facilities that provide services of public interest,</w:t>
      </w:r>
      <w:r w:rsidR="00BC421E" w:rsidRPr="00F45813">
        <w:rPr>
          <w:color w:val="000000" w:themeColor="text1"/>
        </w:rPr>
        <w:t xml:space="preserve"> affordable housing for rent or homeownership or providing direct rental assistance to low-income people. </w:t>
      </w:r>
      <w:r>
        <w:rPr>
          <w:color w:val="000000" w:themeColor="text1"/>
        </w:rPr>
        <w:t xml:space="preserve">CDBG and </w:t>
      </w:r>
      <w:r w:rsidR="00BC421E" w:rsidRPr="00F45813">
        <w:rPr>
          <w:color w:val="000000" w:themeColor="text1"/>
        </w:rPr>
        <w:t xml:space="preserve">HOME </w:t>
      </w:r>
      <w:r>
        <w:rPr>
          <w:color w:val="000000" w:themeColor="text1"/>
        </w:rPr>
        <w:t>are</w:t>
      </w:r>
      <w:r w:rsidR="00BC421E" w:rsidRPr="00F45813">
        <w:rPr>
          <w:color w:val="000000" w:themeColor="text1"/>
        </w:rPr>
        <w:t xml:space="preserve"> the largest federal block </w:t>
      </w:r>
      <w:r>
        <w:rPr>
          <w:color w:val="000000" w:themeColor="text1"/>
        </w:rPr>
        <w:t>grants</w:t>
      </w:r>
      <w:r w:rsidR="00BC421E" w:rsidRPr="00F45813">
        <w:rPr>
          <w:color w:val="000000" w:themeColor="text1"/>
        </w:rPr>
        <w:t xml:space="preserve"> to state and local governments designed exclusively to </w:t>
      </w:r>
      <w:r>
        <w:rPr>
          <w:color w:val="000000" w:themeColor="text1"/>
        </w:rPr>
        <w:t>promote community development and expand access to</w:t>
      </w:r>
      <w:r w:rsidR="00BC421E" w:rsidRPr="00F45813">
        <w:rPr>
          <w:color w:val="000000" w:themeColor="text1"/>
        </w:rPr>
        <w:t xml:space="preserve"> affordable housing for low-income households. </w:t>
      </w:r>
      <w:r>
        <w:rPr>
          <w:color w:val="000000" w:themeColor="text1"/>
        </w:rPr>
        <w:t xml:space="preserve">CDBG and </w:t>
      </w:r>
      <w:r w:rsidR="00BC421E" w:rsidRPr="00F45813">
        <w:rPr>
          <w:color w:val="000000" w:themeColor="text1"/>
        </w:rPr>
        <w:t xml:space="preserve">HOME funds are awarded annually as formula grants to participating jurisdictions. For Fiscal </w:t>
      </w:r>
      <w:r w:rsidR="00F94A1E">
        <w:rPr>
          <w:color w:val="000000" w:themeColor="text1"/>
        </w:rPr>
        <w:t>Y</w:t>
      </w:r>
      <w:r w:rsidR="00BC421E" w:rsidRPr="00F45813">
        <w:rPr>
          <w:color w:val="000000" w:themeColor="text1"/>
        </w:rPr>
        <w:t xml:space="preserve">ear (FY) </w:t>
      </w:r>
      <w:r w:rsidR="007321DA">
        <w:rPr>
          <w:color w:val="000000" w:themeColor="text1"/>
        </w:rPr>
        <w:t>202</w:t>
      </w:r>
      <w:r>
        <w:rPr>
          <w:color w:val="000000" w:themeColor="text1"/>
        </w:rPr>
        <w:t>3</w:t>
      </w:r>
      <w:r w:rsidR="007321DA">
        <w:rPr>
          <w:color w:val="000000" w:themeColor="text1"/>
        </w:rPr>
        <w:t>/202</w:t>
      </w:r>
      <w:r>
        <w:rPr>
          <w:color w:val="000000" w:themeColor="text1"/>
        </w:rPr>
        <w:t>4</w:t>
      </w:r>
      <w:r w:rsidR="00BC421E" w:rsidRPr="00F45813">
        <w:rPr>
          <w:color w:val="000000" w:themeColor="text1"/>
        </w:rPr>
        <w:t xml:space="preserve">, Manatee County received a total </w:t>
      </w:r>
      <w:r>
        <w:rPr>
          <w:color w:val="000000" w:themeColor="text1"/>
        </w:rPr>
        <w:t xml:space="preserve">CDBG allocation of </w:t>
      </w:r>
      <w:r w:rsidR="00F94A1E" w:rsidRPr="00F94A1E">
        <w:rPr>
          <w:color w:val="000000" w:themeColor="text1"/>
        </w:rPr>
        <w:t>$1,847,283.00</w:t>
      </w:r>
      <w:r w:rsidR="00F94A1E">
        <w:rPr>
          <w:color w:val="000000" w:themeColor="text1"/>
        </w:rPr>
        <w:t xml:space="preserve"> and </w:t>
      </w:r>
      <w:r w:rsidR="00F94A1E" w:rsidRPr="00F45813">
        <w:rPr>
          <w:color w:val="000000" w:themeColor="text1"/>
        </w:rPr>
        <w:t xml:space="preserve">a total </w:t>
      </w:r>
      <w:r w:rsidR="00BC421E" w:rsidRPr="00F45813">
        <w:rPr>
          <w:color w:val="000000" w:themeColor="text1"/>
        </w:rPr>
        <w:t xml:space="preserve">HOME allocation of </w:t>
      </w:r>
      <w:r w:rsidR="00F94A1E" w:rsidRPr="00F94A1E">
        <w:rPr>
          <w:color w:val="000000" w:themeColor="text1"/>
        </w:rPr>
        <w:t>$682,570.00</w:t>
      </w:r>
      <w:r w:rsidR="00BC421E" w:rsidRPr="00F45813">
        <w:rPr>
          <w:color w:val="000000" w:themeColor="text1"/>
        </w:rPr>
        <w:t>.</w:t>
      </w:r>
    </w:p>
    <w:p w14:paraId="11A84883" w14:textId="77777777" w:rsidR="00BC421E" w:rsidRPr="00F45813" w:rsidRDefault="00BC421E" w:rsidP="006D1DF7">
      <w:pPr>
        <w:spacing w:after="0"/>
        <w:rPr>
          <w:color w:val="000000" w:themeColor="text1"/>
        </w:rPr>
      </w:pPr>
    </w:p>
    <w:p w14:paraId="1FC9D918" w14:textId="1A9E9A89" w:rsidR="006D1DF7" w:rsidRPr="00F45813" w:rsidRDefault="003A3A25" w:rsidP="006D1DF7">
      <w:pPr>
        <w:spacing w:after="0"/>
        <w:rPr>
          <w:color w:val="000000" w:themeColor="text1"/>
        </w:rPr>
      </w:pPr>
      <w:r w:rsidRPr="00F45813">
        <w:rPr>
          <w:color w:val="000000" w:themeColor="text1"/>
        </w:rPr>
        <w:t>Manatee County</w:t>
      </w:r>
      <w:r w:rsidR="006D1DF7" w:rsidRPr="00F45813">
        <w:rPr>
          <w:color w:val="000000" w:themeColor="text1"/>
        </w:rPr>
        <w:t>’s federal Annual Action Plan details the funding strategy for the Community Development Block Grant (CDBG) program</w:t>
      </w:r>
      <w:r w:rsidR="007321DA">
        <w:rPr>
          <w:color w:val="000000" w:themeColor="text1"/>
        </w:rPr>
        <w:t xml:space="preserve"> and the HOME program</w:t>
      </w:r>
      <w:r w:rsidR="006D1DF7" w:rsidRPr="00F45813">
        <w:rPr>
          <w:color w:val="000000" w:themeColor="text1"/>
        </w:rPr>
        <w:t xml:space="preserve"> each year. The Annual Action Plan implements a jurisdiction’s multi-year Consolidated Plan and is developed through significant citizen participation, analysis, and planning. </w:t>
      </w:r>
      <w:r w:rsidR="00011B4A" w:rsidRPr="00F45813">
        <w:rPr>
          <w:color w:val="000000" w:themeColor="text1"/>
        </w:rPr>
        <w:t>The</w:t>
      </w:r>
      <w:r w:rsidR="00BC421E" w:rsidRPr="00F45813">
        <w:rPr>
          <w:color w:val="000000" w:themeColor="text1"/>
        </w:rPr>
        <w:t xml:space="preserve"> FY </w:t>
      </w:r>
      <w:r w:rsidR="007321DA">
        <w:rPr>
          <w:color w:val="000000" w:themeColor="text1"/>
        </w:rPr>
        <w:t>202</w:t>
      </w:r>
      <w:r w:rsidR="00F94A1E">
        <w:rPr>
          <w:color w:val="000000" w:themeColor="text1"/>
        </w:rPr>
        <w:t>3</w:t>
      </w:r>
      <w:r w:rsidR="007321DA">
        <w:rPr>
          <w:color w:val="000000" w:themeColor="text1"/>
        </w:rPr>
        <w:t>/202</w:t>
      </w:r>
      <w:r w:rsidR="00F94A1E">
        <w:rPr>
          <w:color w:val="000000" w:themeColor="text1"/>
        </w:rPr>
        <w:t>4</w:t>
      </w:r>
      <w:r w:rsidR="00011B4A" w:rsidRPr="00F45813">
        <w:rPr>
          <w:color w:val="000000" w:themeColor="text1"/>
        </w:rPr>
        <w:t xml:space="preserve"> funds were </w:t>
      </w:r>
      <w:r w:rsidR="006D1DF7" w:rsidRPr="00F45813">
        <w:rPr>
          <w:color w:val="000000" w:themeColor="text1"/>
        </w:rPr>
        <w:t xml:space="preserve">incorporated into the </w:t>
      </w:r>
      <w:r w:rsidRPr="00F45813">
        <w:rPr>
          <w:color w:val="000000" w:themeColor="text1"/>
        </w:rPr>
        <w:t>County</w:t>
      </w:r>
      <w:r w:rsidR="006D1DF7" w:rsidRPr="00F45813">
        <w:rPr>
          <w:color w:val="000000" w:themeColor="text1"/>
        </w:rPr>
        <w:t>’s 20</w:t>
      </w:r>
      <w:r w:rsidR="00BC421E" w:rsidRPr="00F45813">
        <w:rPr>
          <w:color w:val="000000" w:themeColor="text1"/>
        </w:rPr>
        <w:t>2</w:t>
      </w:r>
      <w:r w:rsidR="00F94A1E">
        <w:rPr>
          <w:color w:val="000000" w:themeColor="text1"/>
        </w:rPr>
        <w:t>3</w:t>
      </w:r>
      <w:r w:rsidR="006D1DF7" w:rsidRPr="00F45813">
        <w:rPr>
          <w:color w:val="000000" w:themeColor="text1"/>
        </w:rPr>
        <w:t xml:space="preserve"> Annual Action Plan.</w:t>
      </w:r>
    </w:p>
    <w:p w14:paraId="1D9A3D85" w14:textId="77777777" w:rsidR="006D1DF7" w:rsidRDefault="006D1DF7" w:rsidP="006D1DF7">
      <w:pPr>
        <w:spacing w:after="0"/>
        <w:rPr>
          <w:color w:val="000000" w:themeColor="text1"/>
        </w:rPr>
      </w:pPr>
    </w:p>
    <w:p w14:paraId="41E42082" w14:textId="5B958DAC" w:rsidR="00A10CF1" w:rsidRPr="00F45813" w:rsidRDefault="00A10CF1" w:rsidP="00A10CF1">
      <w:pPr>
        <w:spacing w:after="0"/>
        <w:rPr>
          <w:b/>
          <w:color w:val="000000" w:themeColor="text1"/>
          <w:u w:val="single"/>
        </w:rPr>
      </w:pPr>
      <w:r w:rsidRPr="00F45813">
        <w:rPr>
          <w:b/>
          <w:color w:val="000000" w:themeColor="text1"/>
          <w:u w:val="single"/>
        </w:rPr>
        <w:t>Proposed Substantial Amendment</w:t>
      </w:r>
      <w:r>
        <w:rPr>
          <w:b/>
          <w:color w:val="000000" w:themeColor="text1"/>
          <w:u w:val="single"/>
        </w:rPr>
        <w:t xml:space="preserve"> to the 2023-2027 5-Year Consolidated Plan</w:t>
      </w:r>
    </w:p>
    <w:p w14:paraId="183F53CA" w14:textId="42E5D1F0" w:rsidR="00552A26" w:rsidRDefault="00552A26" w:rsidP="00552A26">
      <w:pPr>
        <w:spacing w:after="0"/>
        <w:rPr>
          <w:color w:val="000000" w:themeColor="text1"/>
        </w:rPr>
      </w:pPr>
      <w:r w:rsidRPr="00552A26">
        <w:rPr>
          <w:color w:val="000000" w:themeColor="text1"/>
        </w:rPr>
        <w:t xml:space="preserve">Manatee County proposes a substantial amendment to the 2023–2027 Five-Year Consolidated Plan to incorporate a summary of the </w:t>
      </w:r>
      <w:hyperlink r:id="rId8" w:history="1">
        <w:r w:rsidRPr="00A55019">
          <w:rPr>
            <w:rStyle w:val="Hyperlink"/>
          </w:rPr>
          <w:t>Community Development Block Grant–Disaster Recovery (CDBG-DR) Action Plan</w:t>
        </w:r>
      </w:hyperlink>
      <w:r w:rsidRPr="00552A26">
        <w:rPr>
          <w:color w:val="000000" w:themeColor="text1"/>
        </w:rPr>
        <w:t>, in accordance with the requirements of 24 C.F.R. Part 91. The CDBG-DR Action Plan is a comprehensive assessment of unmet needs resulting from the 2024 hurricane events and outlines proposed recovery programs and projects to support long-term recovery efforts throughout Manatee County.</w:t>
      </w:r>
    </w:p>
    <w:p w14:paraId="68C4EEBA" w14:textId="77777777" w:rsidR="00552A26" w:rsidRPr="00552A26" w:rsidRDefault="00552A26" w:rsidP="00552A26">
      <w:pPr>
        <w:spacing w:after="0"/>
        <w:rPr>
          <w:color w:val="000000" w:themeColor="text1"/>
        </w:rPr>
      </w:pPr>
    </w:p>
    <w:p w14:paraId="507E18F7" w14:textId="571DCC6E" w:rsidR="00552A26" w:rsidRDefault="00552A26" w:rsidP="00552A26">
      <w:pPr>
        <w:spacing w:after="0"/>
        <w:rPr>
          <w:color w:val="000000" w:themeColor="text1"/>
        </w:rPr>
      </w:pPr>
      <w:r w:rsidRPr="00552A26">
        <w:rPr>
          <w:color w:val="000000" w:themeColor="text1"/>
        </w:rPr>
        <w:t xml:space="preserve">The CDBG-DR Action Plan was prepared by the Manatee County Government Relations Department and submitted to the U.S. Department of Housing and Urban Development (HUD) on </w:t>
      </w:r>
      <w:r w:rsidR="000D6BCF">
        <w:rPr>
          <w:color w:val="000000" w:themeColor="text1"/>
        </w:rPr>
        <w:t>June 30, 2025</w:t>
      </w:r>
      <w:r w:rsidRPr="00552A26">
        <w:rPr>
          <w:color w:val="000000" w:themeColor="text1"/>
        </w:rPr>
        <w:t>. Upon completion of the Action Plan, the County is required to update its Five-Year Consolidated Plan to ensure consistency, coordination, and alignment among its HUD entitlement and disaster recovery funding programs, as required under 24 C.F.R. Part 91.</w:t>
      </w:r>
      <w:r w:rsidR="00AA1CFC">
        <w:rPr>
          <w:color w:val="000000" w:themeColor="text1"/>
        </w:rPr>
        <w:t xml:space="preserve"> The full CDBG-DR information is available at </w:t>
      </w:r>
      <w:hyperlink r:id="rId9" w:history="1">
        <w:r w:rsidR="00AA1CFC" w:rsidRPr="00200E9A">
          <w:rPr>
            <w:rStyle w:val="Hyperlink"/>
          </w:rPr>
          <w:t>https://www.lastingmanatee.org/</w:t>
        </w:r>
      </w:hyperlink>
      <w:r w:rsidR="00AA1CFC">
        <w:rPr>
          <w:color w:val="000000" w:themeColor="text1"/>
        </w:rPr>
        <w:t xml:space="preserve">. </w:t>
      </w:r>
    </w:p>
    <w:p w14:paraId="3DC0D4A9" w14:textId="77777777" w:rsidR="00552A26" w:rsidRPr="00552A26" w:rsidRDefault="00552A26" w:rsidP="00552A26">
      <w:pPr>
        <w:spacing w:after="0"/>
        <w:rPr>
          <w:color w:val="000000" w:themeColor="text1"/>
        </w:rPr>
      </w:pPr>
    </w:p>
    <w:p w14:paraId="1090987F" w14:textId="77777777" w:rsidR="00552A26" w:rsidRPr="00552A26" w:rsidRDefault="00552A26" w:rsidP="00552A26">
      <w:pPr>
        <w:spacing w:after="0"/>
        <w:rPr>
          <w:color w:val="000000" w:themeColor="text1"/>
        </w:rPr>
      </w:pPr>
      <w:r w:rsidRPr="00552A26">
        <w:rPr>
          <w:color w:val="000000" w:themeColor="text1"/>
        </w:rPr>
        <w:t>As part of this amendment, the following sections of the 2023–2027 Five-Year Consolidated Plan have been updated to reflect a summary of the identified disaster recovery needs and the anticipated CDBG-DR initiatives:</w:t>
      </w:r>
    </w:p>
    <w:p w14:paraId="2DC18EED" w14:textId="273E258D" w:rsidR="00831BAC" w:rsidRDefault="00831BAC" w:rsidP="00831BAC">
      <w:pPr>
        <w:pStyle w:val="ListParagraph"/>
        <w:numPr>
          <w:ilvl w:val="0"/>
          <w:numId w:val="23"/>
        </w:numPr>
        <w:spacing w:after="0"/>
        <w:rPr>
          <w:color w:val="000000" w:themeColor="text1"/>
        </w:rPr>
      </w:pPr>
      <w:r w:rsidRPr="00831BAC">
        <w:rPr>
          <w:color w:val="000000" w:themeColor="text1"/>
        </w:rPr>
        <w:t>SP-35</w:t>
      </w:r>
      <w:r w:rsidR="00F0785F">
        <w:rPr>
          <w:color w:val="000000" w:themeColor="text1"/>
        </w:rPr>
        <w:t>/SP-36</w:t>
      </w:r>
      <w:r w:rsidRPr="00831BAC">
        <w:rPr>
          <w:color w:val="000000" w:themeColor="text1"/>
        </w:rPr>
        <w:t xml:space="preserve"> </w:t>
      </w:r>
      <w:r>
        <w:rPr>
          <w:color w:val="000000" w:themeColor="text1"/>
        </w:rPr>
        <w:t>– Anticipated Resources</w:t>
      </w:r>
    </w:p>
    <w:p w14:paraId="08C0F827" w14:textId="2E2148CA" w:rsidR="0028680E" w:rsidRDefault="0028680E" w:rsidP="00831BAC">
      <w:pPr>
        <w:pStyle w:val="ListParagraph"/>
        <w:numPr>
          <w:ilvl w:val="0"/>
          <w:numId w:val="23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>SP-4</w:t>
      </w:r>
      <w:r w:rsidR="005262B4">
        <w:rPr>
          <w:color w:val="000000" w:themeColor="text1"/>
        </w:rPr>
        <w:t>5 - Goals</w:t>
      </w:r>
    </w:p>
    <w:p w14:paraId="48C20607" w14:textId="048AFCCB" w:rsidR="00147B96" w:rsidRPr="00147B96" w:rsidRDefault="00147B96" w:rsidP="00147B96">
      <w:pPr>
        <w:pStyle w:val="ListParagraph"/>
        <w:numPr>
          <w:ilvl w:val="0"/>
          <w:numId w:val="23"/>
        </w:numPr>
        <w:spacing w:after="0"/>
        <w:rPr>
          <w:color w:val="000000" w:themeColor="text1"/>
        </w:rPr>
      </w:pPr>
      <w:r w:rsidRPr="00147B96">
        <w:rPr>
          <w:color w:val="000000" w:themeColor="text1"/>
        </w:rPr>
        <w:t>NA-10</w:t>
      </w:r>
      <w:r>
        <w:rPr>
          <w:color w:val="000000" w:themeColor="text1"/>
        </w:rPr>
        <w:t xml:space="preserve"> - </w:t>
      </w:r>
      <w:r w:rsidRPr="00147B96">
        <w:rPr>
          <w:color w:val="000000" w:themeColor="text1"/>
        </w:rPr>
        <w:t xml:space="preserve">Housing needs </w:t>
      </w:r>
    </w:p>
    <w:p w14:paraId="566E12E2" w14:textId="0727E03D" w:rsidR="00147B96" w:rsidRPr="00147B96" w:rsidRDefault="00147B96" w:rsidP="00147B96">
      <w:pPr>
        <w:pStyle w:val="ListParagraph"/>
        <w:numPr>
          <w:ilvl w:val="0"/>
          <w:numId w:val="23"/>
        </w:numPr>
        <w:spacing w:after="0"/>
        <w:rPr>
          <w:color w:val="000000" w:themeColor="text1"/>
        </w:rPr>
      </w:pPr>
      <w:r w:rsidRPr="00147B96">
        <w:rPr>
          <w:color w:val="000000" w:themeColor="text1"/>
        </w:rPr>
        <w:t>NA-40</w:t>
      </w:r>
      <w:r>
        <w:rPr>
          <w:color w:val="000000" w:themeColor="text1"/>
        </w:rPr>
        <w:t xml:space="preserve"> -</w:t>
      </w:r>
      <w:r w:rsidRPr="00147B96">
        <w:rPr>
          <w:color w:val="000000" w:themeColor="text1"/>
        </w:rPr>
        <w:t xml:space="preserve"> Homeless needs </w:t>
      </w:r>
    </w:p>
    <w:p w14:paraId="717A5BD3" w14:textId="334174B5" w:rsidR="00831BAC" w:rsidRDefault="00147B96" w:rsidP="00147B96">
      <w:pPr>
        <w:pStyle w:val="ListParagraph"/>
        <w:numPr>
          <w:ilvl w:val="0"/>
          <w:numId w:val="23"/>
        </w:numPr>
        <w:spacing w:after="0"/>
        <w:rPr>
          <w:color w:val="000000" w:themeColor="text1"/>
        </w:rPr>
      </w:pPr>
      <w:r w:rsidRPr="00147B96">
        <w:rPr>
          <w:color w:val="000000" w:themeColor="text1"/>
        </w:rPr>
        <w:t>NA-</w:t>
      </w:r>
      <w:r>
        <w:rPr>
          <w:color w:val="000000" w:themeColor="text1"/>
        </w:rPr>
        <w:t>5</w:t>
      </w:r>
      <w:r w:rsidRPr="00147B96">
        <w:rPr>
          <w:color w:val="000000" w:themeColor="text1"/>
        </w:rPr>
        <w:t>0</w:t>
      </w:r>
      <w:r>
        <w:rPr>
          <w:color w:val="000000" w:themeColor="text1"/>
        </w:rPr>
        <w:t xml:space="preserve"> -</w:t>
      </w:r>
      <w:r w:rsidRPr="00147B96">
        <w:rPr>
          <w:color w:val="000000" w:themeColor="text1"/>
        </w:rPr>
        <w:t xml:space="preserve"> Infrastructure and economic development needs</w:t>
      </w:r>
    </w:p>
    <w:p w14:paraId="778186E1" w14:textId="725BB18F" w:rsidR="00DD64FE" w:rsidRDefault="00DD64FE" w:rsidP="00DD64FE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MA-10 - Number of Housing units</w:t>
      </w:r>
    </w:p>
    <w:p w14:paraId="3F205395" w14:textId="4C4B7E77" w:rsidR="00DD64FE" w:rsidRDefault="00922893" w:rsidP="00DD64FE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MA-15 </w:t>
      </w:r>
      <w:proofErr w:type="gramStart"/>
      <w:r>
        <w:rPr>
          <w:sz w:val="22"/>
          <w:szCs w:val="22"/>
        </w:rPr>
        <w:t xml:space="preserve">- </w:t>
      </w:r>
      <w:r w:rsidR="00DD64FE">
        <w:rPr>
          <w:sz w:val="22"/>
          <w:szCs w:val="22"/>
        </w:rPr>
        <w:t xml:space="preserve"> Cost</w:t>
      </w:r>
      <w:proofErr w:type="gramEnd"/>
      <w:r w:rsidR="00DD64FE">
        <w:rPr>
          <w:sz w:val="22"/>
          <w:szCs w:val="22"/>
        </w:rPr>
        <w:t xml:space="preserve"> of Housing</w:t>
      </w:r>
    </w:p>
    <w:p w14:paraId="5633600E" w14:textId="71FBAB8E" w:rsidR="00DD64FE" w:rsidRDefault="00922893" w:rsidP="00DD64FE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MA-20 - </w:t>
      </w:r>
      <w:r w:rsidR="00DD64FE">
        <w:rPr>
          <w:sz w:val="22"/>
          <w:szCs w:val="22"/>
        </w:rPr>
        <w:t xml:space="preserve">Condition of Housing </w:t>
      </w:r>
    </w:p>
    <w:p w14:paraId="030EF442" w14:textId="4486E48B" w:rsidR="00DD64FE" w:rsidRPr="00922893" w:rsidRDefault="00922893" w:rsidP="00DD2FF8">
      <w:pPr>
        <w:pStyle w:val="Default"/>
        <w:numPr>
          <w:ilvl w:val="0"/>
          <w:numId w:val="23"/>
        </w:numPr>
        <w:rPr>
          <w:color w:val="000000" w:themeColor="text1"/>
        </w:rPr>
      </w:pPr>
      <w:r>
        <w:rPr>
          <w:sz w:val="22"/>
          <w:szCs w:val="22"/>
        </w:rPr>
        <w:t xml:space="preserve">MA-50 - </w:t>
      </w:r>
      <w:r w:rsidR="00DD64FE">
        <w:rPr>
          <w:sz w:val="22"/>
          <w:szCs w:val="22"/>
        </w:rPr>
        <w:t>Needs and Market Analysis Discussion</w:t>
      </w:r>
    </w:p>
    <w:p w14:paraId="12682F1D" w14:textId="77777777" w:rsidR="00A10CF1" w:rsidRPr="00F45813" w:rsidRDefault="00A10CF1" w:rsidP="006D1DF7">
      <w:pPr>
        <w:spacing w:after="0"/>
        <w:rPr>
          <w:color w:val="000000" w:themeColor="text1"/>
        </w:rPr>
      </w:pPr>
    </w:p>
    <w:p w14:paraId="7713F5D4" w14:textId="7BCC7EB9" w:rsidR="00BA6480" w:rsidRPr="00F45813" w:rsidRDefault="00BA6480" w:rsidP="00BA6480">
      <w:pPr>
        <w:spacing w:after="0"/>
        <w:rPr>
          <w:b/>
          <w:color w:val="000000" w:themeColor="text1"/>
          <w:u w:val="single"/>
        </w:rPr>
      </w:pPr>
      <w:r w:rsidRPr="00F45813">
        <w:rPr>
          <w:b/>
          <w:color w:val="000000" w:themeColor="text1"/>
          <w:u w:val="single"/>
        </w:rPr>
        <w:t>Proposed Substantial Amendment</w:t>
      </w:r>
      <w:r w:rsidR="00C83F31">
        <w:rPr>
          <w:b/>
          <w:color w:val="000000" w:themeColor="text1"/>
          <w:u w:val="single"/>
        </w:rPr>
        <w:t xml:space="preserve"> to the </w:t>
      </w:r>
      <w:r w:rsidR="00E5639F">
        <w:rPr>
          <w:b/>
          <w:color w:val="000000" w:themeColor="text1"/>
          <w:u w:val="single"/>
        </w:rPr>
        <w:t>2023/24 Annual Action Plan</w:t>
      </w:r>
    </w:p>
    <w:p w14:paraId="53CAC8FD" w14:textId="18DDCB40" w:rsidR="00BA6480" w:rsidRPr="00F45813" w:rsidRDefault="00BA6480" w:rsidP="00BA6480">
      <w:pPr>
        <w:spacing w:after="0"/>
        <w:rPr>
          <w:color w:val="000000" w:themeColor="text1"/>
        </w:rPr>
      </w:pPr>
      <w:bookmarkStart w:id="0" w:name="_Hlk169771630"/>
      <w:r w:rsidRPr="00F45813">
        <w:rPr>
          <w:color w:val="000000" w:themeColor="text1"/>
        </w:rPr>
        <w:t>The</w:t>
      </w:r>
      <w:r w:rsidR="00C84B5C" w:rsidRPr="00F45813">
        <w:rPr>
          <w:color w:val="000000" w:themeColor="text1"/>
        </w:rPr>
        <w:t xml:space="preserve"> </w:t>
      </w:r>
      <w:r w:rsidR="003A3A25" w:rsidRPr="00F45813">
        <w:rPr>
          <w:color w:val="000000" w:themeColor="text1"/>
        </w:rPr>
        <w:t>County</w:t>
      </w:r>
      <w:r w:rsidRPr="00F45813">
        <w:rPr>
          <w:color w:val="000000" w:themeColor="text1"/>
        </w:rPr>
        <w:t xml:space="preserve"> </w:t>
      </w:r>
      <w:r w:rsidR="00A266D7">
        <w:rPr>
          <w:color w:val="000000" w:themeColor="text1"/>
        </w:rPr>
        <w:t>proposes to amend the FY 2023 Annual Action Plan to reprogram CDBG funds from existing activities to new ones</w:t>
      </w:r>
      <w:r w:rsidRPr="00F45813">
        <w:rPr>
          <w:color w:val="000000" w:themeColor="text1"/>
        </w:rPr>
        <w:t>. These changes will result in the following:</w:t>
      </w:r>
    </w:p>
    <w:p w14:paraId="13ECA79B" w14:textId="77777777" w:rsidR="006112F6" w:rsidRPr="00F45813" w:rsidRDefault="006112F6" w:rsidP="00BA6480">
      <w:pPr>
        <w:spacing w:after="0"/>
        <w:rPr>
          <w:i/>
          <w:iCs/>
          <w:color w:val="000000" w:themeColor="text1"/>
        </w:rPr>
      </w:pPr>
    </w:p>
    <w:p w14:paraId="23746A97" w14:textId="7C42FA3C" w:rsidR="00C668F8" w:rsidRDefault="00995412" w:rsidP="00843FF8">
      <w:pPr>
        <w:spacing w:after="0"/>
        <w:ind w:left="360"/>
        <w:rPr>
          <w:i/>
          <w:iCs/>
          <w:color w:val="000000" w:themeColor="text1"/>
        </w:rPr>
      </w:pPr>
      <w:r w:rsidRPr="005F72A9">
        <w:rPr>
          <w:i/>
          <w:iCs/>
          <w:color w:val="000000" w:themeColor="text1"/>
        </w:rPr>
        <w:t>The 202</w:t>
      </w:r>
      <w:r>
        <w:rPr>
          <w:i/>
          <w:iCs/>
          <w:color w:val="000000" w:themeColor="text1"/>
        </w:rPr>
        <w:t>3</w:t>
      </w:r>
      <w:r w:rsidRPr="005F72A9">
        <w:rPr>
          <w:i/>
          <w:iCs/>
          <w:color w:val="000000" w:themeColor="text1"/>
        </w:rPr>
        <w:t>/</w:t>
      </w:r>
      <w:r w:rsidRPr="009C270A">
        <w:rPr>
          <w:i/>
          <w:iCs/>
          <w:color w:val="000000" w:themeColor="text1"/>
        </w:rPr>
        <w:t xml:space="preserve">24 Action Plan substantial amendment </w:t>
      </w:r>
      <w:r w:rsidR="003C485F" w:rsidRPr="003C485F">
        <w:rPr>
          <w:i/>
          <w:iCs/>
          <w:color w:val="000000" w:themeColor="text1"/>
        </w:rPr>
        <w:t xml:space="preserve">reallocates the balances of uncommitted CDBG funds of $511,497.50 from the 2023/24 CDBG Housing Rehabilitation Program to </w:t>
      </w:r>
      <w:r w:rsidR="003C485F">
        <w:rPr>
          <w:i/>
          <w:iCs/>
          <w:color w:val="000000" w:themeColor="text1"/>
        </w:rPr>
        <w:t>the</w:t>
      </w:r>
      <w:r w:rsidR="003C485F" w:rsidRPr="003C485F">
        <w:rPr>
          <w:i/>
          <w:iCs/>
          <w:color w:val="000000" w:themeColor="text1"/>
        </w:rPr>
        <w:t xml:space="preserve"> new project</w:t>
      </w:r>
      <w:r w:rsidR="003C485F">
        <w:rPr>
          <w:i/>
          <w:iCs/>
          <w:color w:val="000000" w:themeColor="text1"/>
        </w:rPr>
        <w:t xml:space="preserve"> Under One Roof – Kitchen Rehabilitation (CDBG Public Facility),</w:t>
      </w:r>
      <w:r w:rsidR="003C485F" w:rsidRPr="003C485F">
        <w:rPr>
          <w:i/>
          <w:iCs/>
          <w:color w:val="000000" w:themeColor="text1"/>
        </w:rPr>
        <w:t xml:space="preserve"> in the amount of </w:t>
      </w:r>
      <w:r w:rsidR="003C485F" w:rsidRPr="003C485F">
        <w:rPr>
          <w:b/>
          <w:bCs/>
          <w:i/>
          <w:iCs/>
          <w:color w:val="000000" w:themeColor="text1"/>
        </w:rPr>
        <w:t>$511,495.00</w:t>
      </w:r>
      <w:r w:rsidR="003C485F" w:rsidRPr="003C485F">
        <w:rPr>
          <w:i/>
          <w:iCs/>
          <w:color w:val="000000" w:themeColor="text1"/>
        </w:rPr>
        <w:t>.</w:t>
      </w:r>
      <w:r w:rsidR="003C485F">
        <w:rPr>
          <w:i/>
          <w:iCs/>
          <w:color w:val="000000" w:themeColor="text1"/>
        </w:rPr>
        <w:t xml:space="preserve"> </w:t>
      </w:r>
      <w:r w:rsidR="00117E10">
        <w:rPr>
          <w:i/>
          <w:iCs/>
          <w:color w:val="000000" w:themeColor="text1"/>
        </w:rPr>
        <w:t xml:space="preserve">This balance is primarily the result of unprecedented State SHIP funding received during the past </w:t>
      </w:r>
      <w:r w:rsidR="00346D3E">
        <w:rPr>
          <w:i/>
          <w:iCs/>
          <w:color w:val="000000" w:themeColor="text1"/>
        </w:rPr>
        <w:t xml:space="preserve">couple of </w:t>
      </w:r>
      <w:r w:rsidR="00117E10">
        <w:rPr>
          <w:i/>
          <w:iCs/>
          <w:color w:val="000000" w:themeColor="text1"/>
        </w:rPr>
        <w:t>year</w:t>
      </w:r>
      <w:r w:rsidR="00346D3E">
        <w:rPr>
          <w:i/>
          <w:iCs/>
          <w:color w:val="000000" w:themeColor="text1"/>
        </w:rPr>
        <w:t>s</w:t>
      </w:r>
      <w:r w:rsidR="00117E10">
        <w:rPr>
          <w:i/>
          <w:iCs/>
          <w:color w:val="000000" w:themeColor="text1"/>
        </w:rPr>
        <w:t xml:space="preserve"> for the same purpose</w:t>
      </w:r>
      <w:r w:rsidR="00346D3E">
        <w:rPr>
          <w:i/>
          <w:iCs/>
          <w:color w:val="000000" w:themeColor="text1"/>
        </w:rPr>
        <w:t xml:space="preserve"> (housing rehabilitation)</w:t>
      </w:r>
      <w:r w:rsidR="00117E10">
        <w:rPr>
          <w:i/>
          <w:iCs/>
          <w:color w:val="000000" w:themeColor="text1"/>
        </w:rPr>
        <w:t>, which freed up the CDBG entitlement grant.</w:t>
      </w:r>
    </w:p>
    <w:p w14:paraId="15244023" w14:textId="77777777" w:rsidR="00C668F8" w:rsidRDefault="00C668F8" w:rsidP="00843FF8">
      <w:pPr>
        <w:spacing w:after="0"/>
        <w:ind w:left="360"/>
        <w:rPr>
          <w:i/>
          <w:iCs/>
          <w:color w:val="000000" w:themeColor="text1"/>
        </w:rPr>
      </w:pPr>
    </w:p>
    <w:bookmarkEnd w:id="0"/>
    <w:p w14:paraId="7CFD327D" w14:textId="77777777" w:rsidR="00927771" w:rsidRPr="00F45813" w:rsidRDefault="00927771" w:rsidP="00927771">
      <w:pPr>
        <w:spacing w:after="0"/>
        <w:rPr>
          <w:color w:val="000000" w:themeColor="text1"/>
        </w:rPr>
      </w:pPr>
      <w:r w:rsidRPr="00F45813">
        <w:rPr>
          <w:color w:val="000000" w:themeColor="text1"/>
        </w:rPr>
        <w:t>All other activities and funding not listed herein will be unaffected by the proposed amendment.</w:t>
      </w:r>
    </w:p>
    <w:p w14:paraId="2B30C048" w14:textId="77777777" w:rsidR="00927771" w:rsidRPr="00F45813" w:rsidRDefault="00927771" w:rsidP="006D1DF7">
      <w:pPr>
        <w:spacing w:after="0"/>
        <w:ind w:firstLine="720"/>
        <w:rPr>
          <w:rFonts w:eastAsia="Times New Roman"/>
          <w:b/>
          <w:bCs/>
          <w:color w:val="000000" w:themeColor="text1"/>
        </w:rPr>
      </w:pPr>
    </w:p>
    <w:p w14:paraId="510679FA" w14:textId="77777777" w:rsidR="006D1DF7" w:rsidRPr="00F45813" w:rsidRDefault="006D1DF7" w:rsidP="006D1DF7">
      <w:pPr>
        <w:spacing w:after="0"/>
        <w:rPr>
          <w:rFonts w:eastAsia="Times New Roman"/>
          <w:b/>
          <w:color w:val="000000" w:themeColor="text1"/>
          <w:u w:val="single"/>
        </w:rPr>
      </w:pPr>
      <w:r w:rsidRPr="00F45813">
        <w:rPr>
          <w:rFonts w:eastAsia="Times New Roman"/>
          <w:b/>
          <w:color w:val="000000" w:themeColor="text1"/>
          <w:u w:val="single"/>
        </w:rPr>
        <w:t>Public Process</w:t>
      </w:r>
    </w:p>
    <w:p w14:paraId="39414C06" w14:textId="49E6D701" w:rsidR="00802007" w:rsidRPr="00F45813" w:rsidRDefault="00173298" w:rsidP="00802007">
      <w:pPr>
        <w:spacing w:after="0"/>
        <w:rPr>
          <w:rFonts w:eastAsia="Times New Roman"/>
          <w:color w:val="000000" w:themeColor="text1"/>
        </w:rPr>
      </w:pPr>
      <w:r w:rsidRPr="00A43A8C">
        <w:rPr>
          <w:rFonts w:eastAsia="Times New Roman"/>
        </w:rPr>
        <w:t xml:space="preserve">Manatee County, FL will provide a public notice in the newspaper on </w:t>
      </w:r>
      <w:r>
        <w:rPr>
          <w:rFonts w:eastAsia="Times New Roman"/>
        </w:rPr>
        <w:t>December 28</w:t>
      </w:r>
      <w:r w:rsidRPr="00A43A8C">
        <w:rPr>
          <w:rFonts w:eastAsia="Times New Roman"/>
        </w:rPr>
        <w:t>, 202</w:t>
      </w:r>
      <w:r>
        <w:rPr>
          <w:rFonts w:eastAsia="Times New Roman"/>
        </w:rPr>
        <w:t>5</w:t>
      </w:r>
      <w:r w:rsidRPr="00A43A8C">
        <w:rPr>
          <w:rFonts w:eastAsia="Times New Roman"/>
        </w:rPr>
        <w:t xml:space="preserve">, advertising a 30-day public comment period starting on </w:t>
      </w:r>
      <w:r>
        <w:rPr>
          <w:rFonts w:eastAsia="Times New Roman"/>
        </w:rPr>
        <w:t>December 29</w:t>
      </w:r>
      <w:r w:rsidRPr="00A43A8C">
        <w:rPr>
          <w:rFonts w:eastAsia="Times New Roman"/>
        </w:rPr>
        <w:t>, 202</w:t>
      </w:r>
      <w:r>
        <w:rPr>
          <w:rFonts w:eastAsia="Times New Roman"/>
        </w:rPr>
        <w:t>5</w:t>
      </w:r>
      <w:r w:rsidRPr="00A43A8C">
        <w:rPr>
          <w:rFonts w:eastAsia="Times New Roman"/>
        </w:rPr>
        <w:t xml:space="preserve">, and ending on </w:t>
      </w:r>
      <w:r>
        <w:rPr>
          <w:rFonts w:eastAsia="Times New Roman"/>
        </w:rPr>
        <w:t>January 28, 2026</w:t>
      </w:r>
      <w:r w:rsidRPr="00A43A8C">
        <w:rPr>
          <w:rFonts w:eastAsia="Times New Roman"/>
        </w:rPr>
        <w:t>, as part of the Citizen Participation Plan requirements.</w:t>
      </w:r>
      <w:r>
        <w:rPr>
          <w:rFonts w:eastAsia="Times New Roman"/>
        </w:rPr>
        <w:t xml:space="preserve"> </w:t>
      </w:r>
      <w:r w:rsidR="003A3A25" w:rsidRPr="00F45813">
        <w:rPr>
          <w:rFonts w:eastAsia="Times New Roman"/>
          <w:color w:val="000000" w:themeColor="text1"/>
        </w:rPr>
        <w:t>Manatee County</w:t>
      </w:r>
      <w:r w:rsidR="00802007" w:rsidRPr="00F45813">
        <w:rPr>
          <w:rFonts w:eastAsia="Times New Roman"/>
          <w:color w:val="000000" w:themeColor="text1"/>
        </w:rPr>
        <w:t xml:space="preserve"> will accept public comment during the thirty (30) day public comment period. Citizens are asked to provide </w:t>
      </w:r>
      <w:r w:rsidR="00D70423">
        <w:rPr>
          <w:rFonts w:eastAsia="Times New Roman"/>
          <w:color w:val="000000" w:themeColor="text1"/>
        </w:rPr>
        <w:t>comments</w:t>
      </w:r>
      <w:r w:rsidR="00802007" w:rsidRPr="00F45813">
        <w:rPr>
          <w:rFonts w:eastAsia="Times New Roman"/>
          <w:color w:val="000000" w:themeColor="text1"/>
        </w:rPr>
        <w:t xml:space="preserve"> on the Substantial Amendment to</w:t>
      </w:r>
      <w:r w:rsidR="00947FF1">
        <w:rPr>
          <w:rFonts w:eastAsia="Times New Roman"/>
          <w:color w:val="000000" w:themeColor="text1"/>
        </w:rPr>
        <w:t xml:space="preserve"> </w:t>
      </w:r>
      <w:r w:rsidR="00802007" w:rsidRPr="00F45813">
        <w:rPr>
          <w:rFonts w:eastAsia="Times New Roman"/>
          <w:color w:val="000000" w:themeColor="text1"/>
        </w:rPr>
        <w:t>the</w:t>
      </w:r>
      <w:r w:rsidR="00947FF1">
        <w:rPr>
          <w:color w:val="000000" w:themeColor="text1"/>
        </w:rPr>
        <w:t xml:space="preserve">2023-2027 5-Year Consolidated Plan </w:t>
      </w:r>
      <w:r w:rsidR="00947FF1">
        <w:rPr>
          <w:rFonts w:eastAsia="Times New Roman"/>
          <w:color w:val="000000" w:themeColor="text1"/>
        </w:rPr>
        <w:t xml:space="preserve">&amp; </w:t>
      </w:r>
      <w:r w:rsidR="007321DA">
        <w:rPr>
          <w:rFonts w:eastAsia="Times New Roman"/>
          <w:color w:val="000000" w:themeColor="text1"/>
        </w:rPr>
        <w:t>202</w:t>
      </w:r>
      <w:r w:rsidR="00D70423">
        <w:rPr>
          <w:rFonts w:eastAsia="Times New Roman"/>
          <w:color w:val="000000" w:themeColor="text1"/>
        </w:rPr>
        <w:t>3</w:t>
      </w:r>
      <w:r w:rsidR="007321DA">
        <w:rPr>
          <w:rFonts w:eastAsia="Times New Roman"/>
          <w:color w:val="000000" w:themeColor="text1"/>
        </w:rPr>
        <w:t>/202</w:t>
      </w:r>
      <w:r w:rsidR="00D70423">
        <w:rPr>
          <w:rFonts w:eastAsia="Times New Roman"/>
          <w:color w:val="000000" w:themeColor="text1"/>
        </w:rPr>
        <w:t>4</w:t>
      </w:r>
      <w:r w:rsidR="00802007" w:rsidRPr="00F45813">
        <w:rPr>
          <w:rFonts w:eastAsia="Times New Roman"/>
          <w:color w:val="000000" w:themeColor="text1"/>
        </w:rPr>
        <w:t xml:space="preserve"> Annual Action Plan and proposed use of </w:t>
      </w:r>
      <w:r w:rsidR="00D70423">
        <w:rPr>
          <w:rFonts w:eastAsia="Times New Roman"/>
          <w:color w:val="000000" w:themeColor="text1"/>
        </w:rPr>
        <w:t xml:space="preserve">CDBG and </w:t>
      </w:r>
      <w:r w:rsidR="00BC421E" w:rsidRPr="00F45813">
        <w:rPr>
          <w:rFonts w:eastAsia="Times New Roman"/>
          <w:color w:val="000000" w:themeColor="text1"/>
        </w:rPr>
        <w:t>HOME</w:t>
      </w:r>
      <w:r w:rsidR="00802007" w:rsidRPr="00F45813">
        <w:rPr>
          <w:rFonts w:eastAsia="Times New Roman"/>
          <w:color w:val="000000" w:themeColor="text1"/>
        </w:rPr>
        <w:t xml:space="preserve"> funds.</w:t>
      </w:r>
    </w:p>
    <w:p w14:paraId="7E81980D" w14:textId="77777777" w:rsidR="00947FF1" w:rsidRDefault="00947FF1" w:rsidP="00947FF1">
      <w:pPr>
        <w:spacing w:after="0"/>
        <w:rPr>
          <w:rFonts w:eastAsia="Times New Roman"/>
          <w:color w:val="000000" w:themeColor="text1"/>
        </w:rPr>
      </w:pPr>
    </w:p>
    <w:p w14:paraId="57581ED4" w14:textId="55D8F025" w:rsidR="00947FF1" w:rsidRDefault="00947FF1" w:rsidP="00947FF1">
      <w:pPr>
        <w:spacing w:after="0"/>
        <w:rPr>
          <w:rFonts w:eastAsia="Times New Roman"/>
          <w:color w:val="000000" w:themeColor="text1"/>
        </w:rPr>
      </w:pPr>
      <w:r w:rsidRPr="000136A4">
        <w:rPr>
          <w:rFonts w:eastAsia="Times New Roman"/>
          <w:color w:val="000000" w:themeColor="text1"/>
        </w:rPr>
        <w:t xml:space="preserve">The Plans will be </w:t>
      </w:r>
      <w:r>
        <w:rPr>
          <w:rFonts w:eastAsia="Times New Roman"/>
          <w:color w:val="000000" w:themeColor="text1"/>
        </w:rPr>
        <w:t xml:space="preserve">available for a 30-day Citizen Comment Period from </w:t>
      </w:r>
      <w:r>
        <w:rPr>
          <w:rFonts w:eastAsia="Times New Roman"/>
        </w:rPr>
        <w:t>December 29</w:t>
      </w:r>
      <w:r w:rsidRPr="00A43A8C">
        <w:rPr>
          <w:rFonts w:eastAsia="Times New Roman"/>
        </w:rPr>
        <w:t>, 202</w:t>
      </w:r>
      <w:r>
        <w:rPr>
          <w:rFonts w:eastAsia="Times New Roman"/>
        </w:rPr>
        <w:t>5,</w:t>
      </w:r>
      <w:r>
        <w:rPr>
          <w:rFonts w:eastAsia="Times New Roman"/>
          <w:color w:val="000000" w:themeColor="text1"/>
        </w:rPr>
        <w:t xml:space="preserve"> to</w:t>
      </w:r>
      <w:r w:rsidRPr="00A43A8C">
        <w:rPr>
          <w:rFonts w:eastAsia="Times New Roman"/>
        </w:rPr>
        <w:t xml:space="preserve"> </w:t>
      </w:r>
      <w:r>
        <w:rPr>
          <w:rFonts w:eastAsia="Times New Roman"/>
        </w:rPr>
        <w:t>January 28, 2026</w:t>
      </w:r>
      <w:r w:rsidRPr="000136A4">
        <w:rPr>
          <w:rFonts w:eastAsia="Times New Roman"/>
          <w:color w:val="000000" w:themeColor="text1"/>
        </w:rPr>
        <w:t>. Copies of the plans are available at:</w:t>
      </w:r>
    </w:p>
    <w:p w14:paraId="6AA39C4E" w14:textId="11FF2788" w:rsidR="00947FF1" w:rsidRPr="000136A4" w:rsidRDefault="00947FF1" w:rsidP="00947FF1">
      <w:pPr>
        <w:pStyle w:val="ListParagraph"/>
        <w:numPr>
          <w:ilvl w:val="0"/>
          <w:numId w:val="22"/>
        </w:numPr>
        <w:spacing w:after="0"/>
        <w:ind w:left="720"/>
        <w:rPr>
          <w:rFonts w:eastAsia="Times New Roman"/>
          <w:b/>
          <w:bCs/>
          <w:color w:val="000000" w:themeColor="text1"/>
        </w:rPr>
      </w:pPr>
      <w:r w:rsidRPr="000136A4">
        <w:rPr>
          <w:rFonts w:eastAsia="Times New Roman"/>
          <w:b/>
          <w:bCs/>
          <w:color w:val="000000" w:themeColor="text1"/>
        </w:rPr>
        <w:t xml:space="preserve">Manatee County Community and Veterans Services Department </w:t>
      </w:r>
    </w:p>
    <w:p w14:paraId="21B04EC1" w14:textId="77777777" w:rsidR="00947FF1" w:rsidRDefault="00947FF1" w:rsidP="00947FF1">
      <w:pPr>
        <w:pStyle w:val="ListParagraph"/>
        <w:spacing w:after="0"/>
        <w:rPr>
          <w:rFonts w:eastAsia="Times New Roman"/>
          <w:color w:val="000000" w:themeColor="text1"/>
        </w:rPr>
      </w:pPr>
      <w:r w:rsidRPr="000E2A3F">
        <w:rPr>
          <w:rFonts w:eastAsia="Times New Roman"/>
          <w:color w:val="000000" w:themeColor="text1"/>
        </w:rPr>
        <w:t>1112 Manatee Avenue West, Suite 500, Bradenton</w:t>
      </w:r>
    </w:p>
    <w:p w14:paraId="7BEF1461" w14:textId="281BE2EE" w:rsidR="00AB2EE1" w:rsidRPr="000E2A3F" w:rsidRDefault="00AB2EE1" w:rsidP="00947FF1">
      <w:pPr>
        <w:pStyle w:val="ListParagraph"/>
        <w:spacing w:after="0"/>
        <w:rPr>
          <w:rFonts w:eastAsia="Times New Roman"/>
          <w:color w:val="000000" w:themeColor="text1"/>
        </w:rPr>
      </w:pPr>
      <w:hyperlink r:id="rId10" w:history="1">
        <w:r w:rsidRPr="00200E9A">
          <w:rPr>
            <w:rStyle w:val="Hyperlink"/>
            <w:rFonts w:eastAsia="Times New Roman"/>
          </w:rPr>
          <w:t>https://www.mymanatee.org/departments/community-and-veterans-services-department</w:t>
        </w:r>
      </w:hyperlink>
      <w:r>
        <w:rPr>
          <w:rFonts w:eastAsia="Times New Roman"/>
          <w:color w:val="000000" w:themeColor="text1"/>
        </w:rPr>
        <w:t xml:space="preserve"> </w:t>
      </w:r>
    </w:p>
    <w:p w14:paraId="03CA039B" w14:textId="77777777" w:rsidR="00947FF1" w:rsidRPr="000E2A3F" w:rsidRDefault="00947FF1" w:rsidP="00947FF1">
      <w:pPr>
        <w:pStyle w:val="ListParagraph"/>
        <w:numPr>
          <w:ilvl w:val="0"/>
          <w:numId w:val="21"/>
        </w:numPr>
        <w:spacing w:after="0"/>
        <w:rPr>
          <w:rFonts w:eastAsia="Times New Roman"/>
          <w:b/>
          <w:bCs/>
          <w:color w:val="000000" w:themeColor="text1"/>
        </w:rPr>
      </w:pPr>
      <w:r w:rsidRPr="000E2A3F">
        <w:rPr>
          <w:rFonts w:eastAsia="Times New Roman"/>
          <w:b/>
          <w:bCs/>
          <w:color w:val="000000" w:themeColor="text1"/>
        </w:rPr>
        <w:t>Manatee County Library Central Branch</w:t>
      </w:r>
    </w:p>
    <w:p w14:paraId="77F8FB57" w14:textId="77777777" w:rsidR="00947FF1" w:rsidRPr="000E2A3F" w:rsidRDefault="00947FF1" w:rsidP="00947FF1">
      <w:pPr>
        <w:pStyle w:val="ListParagraph"/>
        <w:spacing w:after="0"/>
        <w:rPr>
          <w:rFonts w:eastAsia="Times New Roman"/>
          <w:color w:val="000000" w:themeColor="text1"/>
        </w:rPr>
      </w:pPr>
      <w:r w:rsidRPr="000E2A3F">
        <w:rPr>
          <w:rFonts w:eastAsia="Times New Roman"/>
          <w:color w:val="000000" w:themeColor="text1"/>
        </w:rPr>
        <w:t xml:space="preserve">1301 </w:t>
      </w:r>
      <w:proofErr w:type="spellStart"/>
      <w:r w:rsidRPr="000E2A3F">
        <w:rPr>
          <w:rFonts w:eastAsia="Times New Roman"/>
          <w:color w:val="000000" w:themeColor="text1"/>
        </w:rPr>
        <w:t>Barcarrota</w:t>
      </w:r>
      <w:proofErr w:type="spellEnd"/>
      <w:r w:rsidRPr="000E2A3F">
        <w:rPr>
          <w:rFonts w:eastAsia="Times New Roman"/>
          <w:color w:val="000000" w:themeColor="text1"/>
        </w:rPr>
        <w:t xml:space="preserve"> Blvd. W., Bradenton</w:t>
      </w:r>
    </w:p>
    <w:p w14:paraId="25CF34FD" w14:textId="77777777" w:rsidR="00947FF1" w:rsidRPr="000E2A3F" w:rsidRDefault="00947FF1" w:rsidP="00947FF1">
      <w:pPr>
        <w:pStyle w:val="ListParagraph"/>
        <w:numPr>
          <w:ilvl w:val="0"/>
          <w:numId w:val="21"/>
        </w:numPr>
        <w:spacing w:after="0"/>
        <w:rPr>
          <w:rFonts w:eastAsia="Times New Roman"/>
          <w:b/>
          <w:bCs/>
          <w:color w:val="000000" w:themeColor="text1"/>
        </w:rPr>
      </w:pPr>
      <w:r w:rsidRPr="000E2A3F">
        <w:rPr>
          <w:rFonts w:eastAsia="Times New Roman"/>
          <w:b/>
          <w:bCs/>
          <w:color w:val="000000" w:themeColor="text1"/>
        </w:rPr>
        <w:t>South County Branch</w:t>
      </w:r>
    </w:p>
    <w:p w14:paraId="19309578" w14:textId="77777777" w:rsidR="00947FF1" w:rsidRPr="000E2A3F" w:rsidRDefault="00947FF1" w:rsidP="00947FF1">
      <w:pPr>
        <w:spacing w:after="0"/>
        <w:ind w:firstLine="720"/>
        <w:rPr>
          <w:rFonts w:eastAsia="Times New Roman"/>
          <w:color w:val="000000" w:themeColor="text1"/>
        </w:rPr>
      </w:pPr>
      <w:r w:rsidRPr="000E2A3F">
        <w:rPr>
          <w:rFonts w:eastAsia="Times New Roman"/>
          <w:color w:val="000000" w:themeColor="text1"/>
        </w:rPr>
        <w:t>6081 26</w:t>
      </w:r>
      <w:r w:rsidRPr="000E2A3F">
        <w:rPr>
          <w:rFonts w:eastAsia="Times New Roman"/>
          <w:color w:val="000000" w:themeColor="text1"/>
          <w:vertAlign w:val="superscript"/>
        </w:rPr>
        <w:t>th</w:t>
      </w:r>
      <w:r w:rsidRPr="000E2A3F">
        <w:rPr>
          <w:rFonts w:eastAsia="Times New Roman"/>
          <w:color w:val="000000" w:themeColor="text1"/>
        </w:rPr>
        <w:t xml:space="preserve"> St. W., Bradenton</w:t>
      </w:r>
    </w:p>
    <w:p w14:paraId="77E2E1F9" w14:textId="77777777" w:rsidR="00947FF1" w:rsidRPr="000E2A3F" w:rsidRDefault="00947FF1" w:rsidP="00947FF1">
      <w:pPr>
        <w:pStyle w:val="ListParagraph"/>
        <w:numPr>
          <w:ilvl w:val="0"/>
          <w:numId w:val="21"/>
        </w:numPr>
        <w:spacing w:after="0"/>
        <w:rPr>
          <w:rFonts w:eastAsia="Times New Roman"/>
          <w:b/>
          <w:bCs/>
          <w:color w:val="000000" w:themeColor="text1"/>
        </w:rPr>
      </w:pPr>
      <w:r w:rsidRPr="000E2A3F">
        <w:rPr>
          <w:rFonts w:eastAsia="Times New Roman"/>
          <w:b/>
          <w:bCs/>
          <w:color w:val="000000" w:themeColor="text1"/>
        </w:rPr>
        <w:lastRenderedPageBreak/>
        <w:t>Palmetto Branch</w:t>
      </w:r>
    </w:p>
    <w:p w14:paraId="5604154D" w14:textId="77777777" w:rsidR="00947FF1" w:rsidRPr="000E2A3F" w:rsidRDefault="00947FF1" w:rsidP="00947FF1">
      <w:pPr>
        <w:spacing w:after="0"/>
        <w:ind w:firstLine="720"/>
        <w:rPr>
          <w:rFonts w:eastAsia="Times New Roman"/>
          <w:color w:val="000000" w:themeColor="text1"/>
        </w:rPr>
      </w:pPr>
      <w:r w:rsidRPr="000E2A3F">
        <w:rPr>
          <w:rFonts w:eastAsia="Times New Roman"/>
          <w:color w:val="000000" w:themeColor="text1"/>
        </w:rPr>
        <w:t>923 6</w:t>
      </w:r>
      <w:r w:rsidRPr="000E2A3F">
        <w:rPr>
          <w:rFonts w:eastAsia="Times New Roman"/>
          <w:color w:val="000000" w:themeColor="text1"/>
          <w:vertAlign w:val="superscript"/>
        </w:rPr>
        <w:t>th</w:t>
      </w:r>
      <w:r w:rsidRPr="000E2A3F">
        <w:rPr>
          <w:rFonts w:eastAsia="Times New Roman"/>
          <w:color w:val="000000" w:themeColor="text1"/>
        </w:rPr>
        <w:t xml:space="preserve"> St. W., Palmetto</w:t>
      </w:r>
    </w:p>
    <w:p w14:paraId="75B210F2" w14:textId="77777777" w:rsidR="00947FF1" w:rsidRPr="000E2A3F" w:rsidRDefault="00947FF1" w:rsidP="00947FF1">
      <w:pPr>
        <w:pStyle w:val="ListParagraph"/>
        <w:numPr>
          <w:ilvl w:val="0"/>
          <w:numId w:val="21"/>
        </w:numPr>
        <w:spacing w:after="0"/>
        <w:rPr>
          <w:rFonts w:eastAsia="Times New Roman"/>
          <w:color w:val="000000" w:themeColor="text1"/>
        </w:rPr>
      </w:pPr>
      <w:r w:rsidRPr="000E2A3F">
        <w:rPr>
          <w:rFonts w:eastAsia="Times New Roman"/>
          <w:b/>
          <w:bCs/>
          <w:color w:val="000000" w:themeColor="text1"/>
        </w:rPr>
        <w:t>Rocky Bluff Library</w:t>
      </w:r>
      <w:r w:rsidRPr="000E2A3F">
        <w:rPr>
          <w:rFonts w:eastAsia="Times New Roman"/>
          <w:color w:val="000000" w:themeColor="text1"/>
        </w:rPr>
        <w:t xml:space="preserve">   </w:t>
      </w:r>
      <w:r w:rsidRPr="000E2A3F">
        <w:rPr>
          <w:rFonts w:eastAsia="Times New Roman"/>
          <w:color w:val="000000" w:themeColor="text1"/>
        </w:rPr>
        <w:tab/>
        <w:t xml:space="preserve">          </w:t>
      </w:r>
    </w:p>
    <w:p w14:paraId="4B411C48" w14:textId="77777777" w:rsidR="00947FF1" w:rsidRPr="00F45813" w:rsidRDefault="00947FF1" w:rsidP="00947FF1">
      <w:pPr>
        <w:spacing w:after="0"/>
        <w:ind w:firstLine="720"/>
        <w:rPr>
          <w:rFonts w:eastAsia="Times New Roman"/>
          <w:color w:val="000000" w:themeColor="text1"/>
        </w:rPr>
      </w:pPr>
      <w:r w:rsidRPr="000E2A3F">
        <w:rPr>
          <w:rFonts w:eastAsia="Times New Roman"/>
          <w:color w:val="000000" w:themeColor="text1"/>
        </w:rPr>
        <w:t>6750 U.S. Hwy. 301, Ellenton</w:t>
      </w:r>
    </w:p>
    <w:p w14:paraId="1BE6E67A" w14:textId="77777777" w:rsidR="00947FF1" w:rsidRPr="00F45813" w:rsidRDefault="00947FF1" w:rsidP="00947FF1">
      <w:pPr>
        <w:spacing w:after="0"/>
        <w:rPr>
          <w:rFonts w:eastAsia="Times New Roman"/>
          <w:color w:val="000000" w:themeColor="text1"/>
        </w:rPr>
      </w:pPr>
    </w:p>
    <w:p w14:paraId="04249484" w14:textId="77777777" w:rsidR="00947FF1" w:rsidRPr="00F45813" w:rsidRDefault="00947FF1" w:rsidP="00947FF1">
      <w:pPr>
        <w:spacing w:after="0"/>
        <w:rPr>
          <w:rFonts w:eastAsia="Times New Roman"/>
          <w:color w:val="000000" w:themeColor="text1"/>
        </w:rPr>
      </w:pPr>
      <w:r w:rsidRPr="00F45813">
        <w:rPr>
          <w:rFonts w:eastAsia="Times New Roman"/>
          <w:color w:val="000000" w:themeColor="text1"/>
        </w:rPr>
        <w:t>Written comments on Manatee County’s draft</w:t>
      </w:r>
      <w:r>
        <w:rPr>
          <w:rFonts w:eastAsia="Times New Roman"/>
          <w:color w:val="000000" w:themeColor="text1"/>
        </w:rPr>
        <w:t xml:space="preserve"> 2023-2027 Consolidated Plan &amp; 2023/2024</w:t>
      </w:r>
      <w:r w:rsidRPr="00F45813">
        <w:rPr>
          <w:rFonts w:eastAsia="Times New Roman"/>
          <w:color w:val="000000" w:themeColor="text1"/>
        </w:rPr>
        <w:t xml:space="preserve"> Annual Action Plan Substantial Amendment will be accepted through </w:t>
      </w:r>
      <w:r>
        <w:rPr>
          <w:rFonts w:eastAsia="Times New Roman"/>
          <w:color w:val="000000" w:themeColor="text1"/>
        </w:rPr>
        <w:t>January 28</w:t>
      </w:r>
      <w:r w:rsidRPr="00F45813">
        <w:rPr>
          <w:rFonts w:eastAsia="Times New Roman"/>
          <w:color w:val="000000" w:themeColor="text1"/>
          <w:vertAlign w:val="superscript"/>
        </w:rPr>
        <w:t>th</w:t>
      </w:r>
      <w:r w:rsidRPr="00F45813">
        <w:rPr>
          <w:rFonts w:eastAsia="Times New Roman"/>
          <w:color w:val="000000" w:themeColor="text1"/>
        </w:rPr>
        <w:t>, 202</w:t>
      </w:r>
      <w:r>
        <w:rPr>
          <w:rFonts w:eastAsia="Times New Roman"/>
          <w:color w:val="000000" w:themeColor="text1"/>
        </w:rPr>
        <w:t>6</w:t>
      </w:r>
      <w:r w:rsidRPr="00F45813">
        <w:rPr>
          <w:rFonts w:eastAsia="Times New Roman"/>
          <w:color w:val="000000" w:themeColor="text1"/>
        </w:rPr>
        <w:t>.  Please address your comments to:</w:t>
      </w:r>
    </w:p>
    <w:p w14:paraId="0A62364B" w14:textId="77777777" w:rsidR="00947FF1" w:rsidRPr="00F45813" w:rsidRDefault="00947FF1" w:rsidP="00947FF1">
      <w:pPr>
        <w:spacing w:after="0"/>
        <w:rPr>
          <w:rFonts w:eastAsia="Times New Roman"/>
          <w:color w:val="000000" w:themeColor="text1"/>
        </w:rPr>
      </w:pPr>
    </w:p>
    <w:p w14:paraId="74C98068" w14:textId="77777777" w:rsidR="00947FF1" w:rsidRPr="00F45813" w:rsidRDefault="00947FF1" w:rsidP="00947FF1">
      <w:pPr>
        <w:spacing w:after="0"/>
        <w:rPr>
          <w:rFonts w:eastAsia="Times New Roman"/>
          <w:color w:val="000000" w:themeColor="text1"/>
        </w:rPr>
      </w:pPr>
      <w:r w:rsidRPr="00F45813">
        <w:rPr>
          <w:rFonts w:eastAsia="Times New Roman"/>
          <w:color w:val="000000" w:themeColor="text1"/>
        </w:rPr>
        <w:tab/>
      </w:r>
      <w:r w:rsidRPr="00F45813">
        <w:rPr>
          <w:rFonts w:eastAsia="Times New Roman"/>
          <w:color w:val="000000" w:themeColor="text1"/>
        </w:rPr>
        <w:tab/>
        <w:t>Julia Vieira, Community Development Project Manager</w:t>
      </w:r>
    </w:p>
    <w:p w14:paraId="71501994" w14:textId="77777777" w:rsidR="00947FF1" w:rsidRPr="00F45813" w:rsidRDefault="00947FF1" w:rsidP="00947FF1">
      <w:pPr>
        <w:spacing w:after="0"/>
        <w:rPr>
          <w:rFonts w:eastAsia="Times New Roman"/>
          <w:color w:val="000000" w:themeColor="text1"/>
        </w:rPr>
      </w:pPr>
      <w:r w:rsidRPr="00F45813">
        <w:rPr>
          <w:rFonts w:eastAsia="Times New Roman"/>
          <w:color w:val="000000" w:themeColor="text1"/>
        </w:rPr>
        <w:tab/>
      </w:r>
      <w:r w:rsidRPr="00F45813">
        <w:rPr>
          <w:rFonts w:eastAsia="Times New Roman"/>
          <w:color w:val="000000" w:themeColor="text1"/>
        </w:rPr>
        <w:tab/>
        <w:t>Manatee County Community and Veterans Services Department</w:t>
      </w:r>
    </w:p>
    <w:p w14:paraId="28F23016" w14:textId="77777777" w:rsidR="00947FF1" w:rsidRPr="00F45813" w:rsidRDefault="00947FF1" w:rsidP="00947FF1">
      <w:pPr>
        <w:spacing w:after="0"/>
        <w:rPr>
          <w:rFonts w:eastAsia="Times New Roman"/>
          <w:color w:val="000000" w:themeColor="text1"/>
        </w:rPr>
      </w:pPr>
      <w:r w:rsidRPr="00F45813">
        <w:rPr>
          <w:rFonts w:eastAsia="Times New Roman"/>
          <w:color w:val="000000" w:themeColor="text1"/>
        </w:rPr>
        <w:tab/>
      </w:r>
      <w:r w:rsidRPr="00F45813">
        <w:rPr>
          <w:rFonts w:eastAsia="Times New Roman"/>
          <w:color w:val="000000" w:themeColor="text1"/>
        </w:rPr>
        <w:tab/>
        <w:t>1112 Manatee Avenue West, Suite 500</w:t>
      </w:r>
    </w:p>
    <w:p w14:paraId="6E2B966E" w14:textId="77777777" w:rsidR="00947FF1" w:rsidRPr="00F45813" w:rsidRDefault="00947FF1" w:rsidP="00947FF1">
      <w:pPr>
        <w:spacing w:after="0"/>
        <w:rPr>
          <w:rFonts w:eastAsia="Times New Roman"/>
          <w:color w:val="000000" w:themeColor="text1"/>
        </w:rPr>
      </w:pPr>
      <w:r w:rsidRPr="00F45813">
        <w:rPr>
          <w:rFonts w:eastAsia="Times New Roman"/>
          <w:color w:val="000000" w:themeColor="text1"/>
        </w:rPr>
        <w:tab/>
      </w:r>
      <w:r w:rsidRPr="00F45813">
        <w:rPr>
          <w:rFonts w:eastAsia="Times New Roman"/>
          <w:color w:val="000000" w:themeColor="text1"/>
        </w:rPr>
        <w:tab/>
        <w:t>Bradenton, FL 34205</w:t>
      </w:r>
    </w:p>
    <w:p w14:paraId="1936DD05" w14:textId="77777777" w:rsidR="00947FF1" w:rsidRPr="00F45813" w:rsidRDefault="00947FF1" w:rsidP="00947FF1">
      <w:pPr>
        <w:spacing w:after="0"/>
        <w:rPr>
          <w:rFonts w:eastAsia="Times New Roman"/>
          <w:color w:val="000000" w:themeColor="text1"/>
        </w:rPr>
      </w:pPr>
      <w:r w:rsidRPr="00F45813">
        <w:rPr>
          <w:rFonts w:eastAsia="Times New Roman"/>
          <w:color w:val="000000" w:themeColor="text1"/>
        </w:rPr>
        <w:tab/>
      </w:r>
      <w:r w:rsidRPr="00F45813">
        <w:rPr>
          <w:rFonts w:eastAsia="Times New Roman"/>
          <w:color w:val="000000" w:themeColor="text1"/>
        </w:rPr>
        <w:tab/>
        <w:t>(941) 748-4501, ext. 1266</w:t>
      </w:r>
    </w:p>
    <w:p w14:paraId="68C9C163" w14:textId="77777777" w:rsidR="00947FF1" w:rsidRPr="006112F6" w:rsidRDefault="00947FF1" w:rsidP="00947FF1">
      <w:pPr>
        <w:spacing w:after="0"/>
        <w:ind w:left="720" w:firstLine="720"/>
        <w:rPr>
          <w:rFonts w:eastAsia="Times New Roman"/>
          <w:color w:val="000000" w:themeColor="text1"/>
        </w:rPr>
      </w:pPr>
      <w:hyperlink r:id="rId11" w:history="1"/>
      <w:hyperlink r:id="rId12" w:history="1">
        <w:r w:rsidRPr="006112F6">
          <w:rPr>
            <w:rStyle w:val="Hyperlink"/>
            <w:rFonts w:eastAsia="Times New Roman"/>
          </w:rPr>
          <w:t>julia.vieira@mymanatee.org</w:t>
        </w:r>
      </w:hyperlink>
      <w:r w:rsidRPr="006112F6">
        <w:rPr>
          <w:rFonts w:eastAsia="Times New Roman"/>
          <w:color w:val="000000" w:themeColor="text1"/>
        </w:rPr>
        <w:t xml:space="preserve">  </w:t>
      </w:r>
    </w:p>
    <w:p w14:paraId="1747940A" w14:textId="1F0CD220" w:rsidR="00802007" w:rsidRPr="00F45813" w:rsidRDefault="00802007" w:rsidP="006D1DF7">
      <w:pPr>
        <w:spacing w:after="0"/>
        <w:rPr>
          <w:rFonts w:eastAsia="Times New Roman"/>
          <w:color w:val="000000" w:themeColor="text1"/>
        </w:rPr>
      </w:pPr>
    </w:p>
    <w:p w14:paraId="0349B44C" w14:textId="22E9D742" w:rsidR="006112F6" w:rsidRPr="00F45813" w:rsidRDefault="00E45F4A" w:rsidP="006112F6">
      <w:pPr>
        <w:spacing w:after="0"/>
        <w:rPr>
          <w:rFonts w:eastAsia="Times New Roman"/>
          <w:color w:val="000000" w:themeColor="text1"/>
        </w:rPr>
      </w:pPr>
      <w:r w:rsidRPr="00A43A8C">
        <w:rPr>
          <w:rFonts w:eastAsia="Times New Roman"/>
        </w:rPr>
        <w:t xml:space="preserve">Additionally, Manatee County is holding one public hearing for the above proposed substantial amendment on </w:t>
      </w:r>
      <w:r w:rsidRPr="00A43A8C">
        <w:rPr>
          <w:rFonts w:eastAsia="Times New Roman"/>
          <w:b/>
          <w:bCs/>
        </w:rPr>
        <w:t xml:space="preserve">Tuesday, </w:t>
      </w:r>
      <w:r>
        <w:rPr>
          <w:rFonts w:eastAsia="Times New Roman"/>
          <w:b/>
          <w:bCs/>
        </w:rPr>
        <w:t>January 27</w:t>
      </w:r>
      <w:r w:rsidRPr="00A43A8C">
        <w:rPr>
          <w:rFonts w:eastAsia="Times New Roman"/>
          <w:b/>
          <w:bCs/>
        </w:rPr>
        <w:t>,</w:t>
      </w:r>
      <w:r>
        <w:rPr>
          <w:rFonts w:eastAsia="Times New Roman"/>
          <w:b/>
          <w:bCs/>
        </w:rPr>
        <w:t xml:space="preserve"> </w:t>
      </w:r>
      <w:proofErr w:type="gramStart"/>
      <w:r>
        <w:rPr>
          <w:rFonts w:eastAsia="Times New Roman"/>
          <w:b/>
          <w:bCs/>
        </w:rPr>
        <w:t>2026</w:t>
      </w:r>
      <w:proofErr w:type="gramEnd"/>
      <w:r w:rsidRPr="00A43A8C">
        <w:rPr>
          <w:rFonts w:eastAsia="Times New Roman"/>
          <w:b/>
          <w:bCs/>
        </w:rPr>
        <w:t xml:space="preserve"> at 9:00 AM or as soon thereafter as can be heard</w:t>
      </w:r>
      <w:r w:rsidRPr="00A43A8C">
        <w:rPr>
          <w:rFonts w:eastAsia="Times New Roman"/>
        </w:rPr>
        <w:t xml:space="preserve">, at the </w:t>
      </w:r>
      <w:r w:rsidRPr="00A43A8C">
        <w:rPr>
          <w:rFonts w:eastAsia="Times New Roman"/>
          <w:b/>
        </w:rPr>
        <w:t>Manatee County Administration Building – 1</w:t>
      </w:r>
      <w:r w:rsidRPr="00A43A8C">
        <w:rPr>
          <w:rFonts w:eastAsia="Times New Roman"/>
          <w:b/>
          <w:vertAlign w:val="superscript"/>
        </w:rPr>
        <w:t>st</w:t>
      </w:r>
      <w:r w:rsidRPr="00A43A8C">
        <w:rPr>
          <w:rFonts w:eastAsia="Times New Roman"/>
          <w:b/>
        </w:rPr>
        <w:t xml:space="preserve"> Floor Chambers, 1112 Manatee Avenue </w:t>
      </w:r>
      <w:proofErr w:type="gramStart"/>
      <w:r w:rsidRPr="00A43A8C">
        <w:rPr>
          <w:rFonts w:eastAsia="Times New Roman"/>
          <w:b/>
        </w:rPr>
        <w:t>West ,</w:t>
      </w:r>
      <w:proofErr w:type="gramEnd"/>
      <w:r w:rsidRPr="00A43A8C">
        <w:rPr>
          <w:rFonts w:eastAsia="Times New Roman"/>
          <w:b/>
        </w:rPr>
        <w:t xml:space="preserve"> </w:t>
      </w:r>
      <w:r w:rsidRPr="00A43A8C">
        <w:rPr>
          <w:rFonts w:eastAsia="Times New Roman"/>
          <w:b/>
          <w:bCs/>
        </w:rPr>
        <w:t>Bradenton, FL  34205.</w:t>
      </w:r>
      <w:r w:rsidRPr="00A43A8C">
        <w:rPr>
          <w:rFonts w:eastAsia="Times New Roman"/>
          <w:b/>
        </w:rPr>
        <w:t xml:space="preserve"> </w:t>
      </w:r>
      <w:r w:rsidR="006D1DF7" w:rsidRPr="00F45813">
        <w:rPr>
          <w:rFonts w:eastAsia="Times New Roman"/>
          <w:color w:val="000000" w:themeColor="text1"/>
        </w:rPr>
        <w:t xml:space="preserve">The purpose of said hearing is to receive input towards the proposed amendment involving the </w:t>
      </w:r>
      <w:r w:rsidR="00A97D8C">
        <w:rPr>
          <w:rFonts w:eastAsia="Times New Roman"/>
          <w:color w:val="000000" w:themeColor="text1"/>
        </w:rPr>
        <w:t>CDBG-DR</w:t>
      </w:r>
      <w:r w:rsidR="00EC5811">
        <w:rPr>
          <w:rFonts w:eastAsia="Times New Roman"/>
          <w:color w:val="000000" w:themeColor="text1"/>
        </w:rPr>
        <w:t xml:space="preserve"> </w:t>
      </w:r>
      <w:r w:rsidR="00C83F31">
        <w:rPr>
          <w:rFonts w:eastAsia="Times New Roman"/>
          <w:color w:val="000000" w:themeColor="text1"/>
        </w:rPr>
        <w:t xml:space="preserve">associated priorities, and the </w:t>
      </w:r>
      <w:r w:rsidR="006D1DF7" w:rsidRPr="00F45813">
        <w:rPr>
          <w:rFonts w:eastAsia="Times New Roman"/>
          <w:color w:val="000000" w:themeColor="text1"/>
        </w:rPr>
        <w:t xml:space="preserve">use of </w:t>
      </w:r>
      <w:r w:rsidR="00D70423">
        <w:rPr>
          <w:rFonts w:eastAsia="Times New Roman"/>
          <w:color w:val="000000" w:themeColor="text1"/>
        </w:rPr>
        <w:t xml:space="preserve">CDBG and </w:t>
      </w:r>
      <w:r w:rsidR="00BC421E" w:rsidRPr="00F45813">
        <w:rPr>
          <w:rFonts w:eastAsia="Times New Roman"/>
          <w:color w:val="000000" w:themeColor="text1"/>
        </w:rPr>
        <w:t xml:space="preserve">HOME Investment Partnerships program (HOME) </w:t>
      </w:r>
      <w:r w:rsidR="006D1DF7" w:rsidRPr="00F45813">
        <w:rPr>
          <w:rFonts w:eastAsia="Times New Roman"/>
          <w:color w:val="000000" w:themeColor="text1"/>
        </w:rPr>
        <w:t>funds.</w:t>
      </w:r>
    </w:p>
    <w:p w14:paraId="52DCD711" w14:textId="77777777" w:rsidR="006112F6" w:rsidRPr="00F45813" w:rsidRDefault="006112F6" w:rsidP="006112F6">
      <w:pPr>
        <w:spacing w:after="0"/>
        <w:rPr>
          <w:rFonts w:eastAsia="Times New Roman"/>
          <w:color w:val="000000" w:themeColor="text1"/>
        </w:rPr>
      </w:pPr>
    </w:p>
    <w:p w14:paraId="5145D094" w14:textId="3D968799" w:rsidR="006112F6" w:rsidRPr="00F45813" w:rsidRDefault="006112F6" w:rsidP="006112F6">
      <w:pPr>
        <w:spacing w:after="0"/>
        <w:rPr>
          <w:rFonts w:eastAsia="Times New Roman"/>
          <w:color w:val="000000" w:themeColor="text1"/>
        </w:rPr>
      </w:pPr>
      <w:r w:rsidRPr="00F45813">
        <w:rPr>
          <w:rFonts w:eastAsia="Times New Roman"/>
          <w:color w:val="000000" w:themeColor="text1"/>
        </w:rPr>
        <w:t>According to Florida Statutes Section 286.0105, a person deciding to appeal any decision made by the Board of County Commissioners with respect to any matter considered at the above-referenced meeting or hearing, will need a record of the proceedings, and, for such purposes, it may be necessary to ensure that a verbatim record of the proceedings is made, which record includes the testimony and evidence upon which the appeal is to be based.</w:t>
      </w:r>
    </w:p>
    <w:p w14:paraId="7E5F8E9C" w14:textId="77777777" w:rsidR="006112F6" w:rsidRPr="00F45813" w:rsidRDefault="006112F6" w:rsidP="006112F6">
      <w:pPr>
        <w:spacing w:after="0"/>
        <w:rPr>
          <w:rFonts w:eastAsia="Times New Roman"/>
          <w:color w:val="000000" w:themeColor="text1"/>
        </w:rPr>
      </w:pPr>
    </w:p>
    <w:p w14:paraId="33A1ABAD" w14:textId="0AA878ED" w:rsidR="00977DFF" w:rsidRPr="00947FF1" w:rsidRDefault="006112F6" w:rsidP="00947FF1">
      <w:pPr>
        <w:spacing w:after="0"/>
        <w:rPr>
          <w:rFonts w:eastAsia="Times New Roman"/>
          <w:b/>
          <w:color w:val="000000" w:themeColor="text1"/>
        </w:rPr>
      </w:pPr>
      <w:r w:rsidRPr="00F45813">
        <w:rPr>
          <w:rFonts w:eastAsia="Times New Roman"/>
          <w:color w:val="000000" w:themeColor="text1"/>
        </w:rPr>
        <w:t xml:space="preserve">Americans with Disabilities:  The Board of County Commissioners does not discriminate upon the basis of any individual's disability status. This non-discrimination policy involves every aspect of the Board's </w:t>
      </w:r>
      <w:proofErr w:type="gramStart"/>
      <w:r w:rsidRPr="00F45813">
        <w:rPr>
          <w:rFonts w:eastAsia="Times New Roman"/>
          <w:color w:val="000000" w:themeColor="text1"/>
        </w:rPr>
        <w:t>functions</w:t>
      </w:r>
      <w:proofErr w:type="gramEnd"/>
      <w:r w:rsidRPr="00F45813">
        <w:rPr>
          <w:rFonts w:eastAsia="Times New Roman"/>
          <w:color w:val="000000" w:themeColor="text1"/>
        </w:rPr>
        <w:t xml:space="preserve"> including one's access to and participation in public hearings. Anyone requiring reasonable accommodation for this meeting as provided for in the ADA, should contact Carmine DeMilio 941-792-8784 ext. 8203 or carmine.demilio@mymanatee.org; or FAX 745-3790.</w:t>
      </w:r>
    </w:p>
    <w:sectPr w:rsidR="00977DFF" w:rsidRPr="00947FF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C51C" w14:textId="77777777" w:rsidR="00072577" w:rsidRDefault="00072577" w:rsidP="005B45CD">
      <w:pPr>
        <w:spacing w:after="0" w:line="240" w:lineRule="auto"/>
      </w:pPr>
      <w:r>
        <w:separator/>
      </w:r>
    </w:p>
  </w:endnote>
  <w:endnote w:type="continuationSeparator" w:id="0">
    <w:p w14:paraId="2DF211B3" w14:textId="77777777" w:rsidR="00072577" w:rsidRDefault="00072577" w:rsidP="005B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324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232E4" w14:textId="46D9FA45" w:rsidR="007022A9" w:rsidRDefault="007022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90701" w14:textId="77777777" w:rsidR="007022A9" w:rsidRDefault="00702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7DD7" w14:textId="77777777" w:rsidR="00072577" w:rsidRDefault="00072577" w:rsidP="005B45CD">
      <w:pPr>
        <w:spacing w:after="0" w:line="240" w:lineRule="auto"/>
      </w:pPr>
      <w:r>
        <w:separator/>
      </w:r>
    </w:p>
  </w:footnote>
  <w:footnote w:type="continuationSeparator" w:id="0">
    <w:p w14:paraId="48EF742C" w14:textId="77777777" w:rsidR="00072577" w:rsidRDefault="00072577" w:rsidP="005B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9210" w14:textId="11CC167E" w:rsidR="00BC421E" w:rsidRPr="007749B3" w:rsidRDefault="0091450B" w:rsidP="00BC421E">
    <w:pPr>
      <w:pStyle w:val="Header"/>
      <w:jc w:val="right"/>
      <w:rPr>
        <w:b/>
        <w:bCs/>
        <w:sz w:val="24"/>
        <w:szCs w:val="24"/>
      </w:rPr>
    </w:pPr>
    <w:sdt>
      <w:sdtPr>
        <w:rPr>
          <w:b/>
          <w:bCs/>
          <w:sz w:val="24"/>
          <w:szCs w:val="24"/>
        </w:rPr>
        <w:id w:val="-1156681827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24"/>
            <w:szCs w:val="24"/>
          </w:rPr>
          <w:pict w14:anchorId="74AA99D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421E" w:rsidRPr="007749B3">
      <w:rPr>
        <w:b/>
        <w:bCs/>
        <w:sz w:val="24"/>
        <w:szCs w:val="24"/>
      </w:rPr>
      <w:t>MANATEE COUNTY, FL</w:t>
    </w:r>
  </w:p>
  <w:p w14:paraId="5ECA84CB" w14:textId="6A2DE3F2" w:rsidR="0035290F" w:rsidRDefault="0035290F" w:rsidP="00BC421E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2023-2027</w:t>
    </w:r>
    <w:r w:rsidR="003F6AB2">
      <w:rPr>
        <w:b/>
        <w:bCs/>
        <w:sz w:val="24"/>
        <w:szCs w:val="24"/>
      </w:rPr>
      <w:t xml:space="preserve"> CONSOLIDATED PLAN</w:t>
    </w:r>
  </w:p>
  <w:p w14:paraId="66A5412F" w14:textId="556A018E" w:rsidR="00BC421E" w:rsidRPr="007749B3" w:rsidRDefault="00BC421E" w:rsidP="00BC421E">
    <w:pPr>
      <w:pStyle w:val="Header"/>
      <w:jc w:val="right"/>
      <w:rPr>
        <w:b/>
        <w:bCs/>
        <w:sz w:val="24"/>
        <w:szCs w:val="24"/>
      </w:rPr>
    </w:pPr>
    <w:r w:rsidRPr="007749B3">
      <w:rPr>
        <w:b/>
        <w:bCs/>
        <w:sz w:val="24"/>
        <w:szCs w:val="24"/>
      </w:rPr>
      <w:t>20</w:t>
    </w:r>
    <w:r>
      <w:rPr>
        <w:b/>
        <w:bCs/>
        <w:sz w:val="24"/>
        <w:szCs w:val="24"/>
      </w:rPr>
      <w:t>2</w:t>
    </w:r>
    <w:r w:rsidR="00B61E73">
      <w:rPr>
        <w:b/>
        <w:bCs/>
        <w:sz w:val="24"/>
        <w:szCs w:val="24"/>
      </w:rPr>
      <w:t>3</w:t>
    </w:r>
    <w:r w:rsidRPr="007749B3">
      <w:rPr>
        <w:b/>
        <w:bCs/>
        <w:sz w:val="24"/>
        <w:szCs w:val="24"/>
      </w:rPr>
      <w:t>/20</w:t>
    </w:r>
    <w:r>
      <w:rPr>
        <w:b/>
        <w:bCs/>
        <w:sz w:val="24"/>
        <w:szCs w:val="24"/>
      </w:rPr>
      <w:t>2</w:t>
    </w:r>
    <w:r w:rsidR="00B61E73">
      <w:rPr>
        <w:b/>
        <w:bCs/>
        <w:sz w:val="24"/>
        <w:szCs w:val="24"/>
      </w:rPr>
      <w:t>4</w:t>
    </w:r>
    <w:r w:rsidRPr="007749B3">
      <w:rPr>
        <w:b/>
        <w:bCs/>
        <w:sz w:val="24"/>
        <w:szCs w:val="24"/>
      </w:rPr>
      <w:t xml:space="preserve"> ANNUAL ACTION PLAN</w:t>
    </w:r>
  </w:p>
  <w:p w14:paraId="6CC28BF4" w14:textId="77777777" w:rsidR="00BC421E" w:rsidRPr="007749B3" w:rsidRDefault="00BC421E" w:rsidP="00BC421E">
    <w:pPr>
      <w:pStyle w:val="Header"/>
      <w:jc w:val="right"/>
      <w:rPr>
        <w:b/>
        <w:bCs/>
        <w:sz w:val="24"/>
        <w:szCs w:val="24"/>
      </w:rPr>
    </w:pPr>
    <w:r w:rsidRPr="007749B3">
      <w:rPr>
        <w:b/>
        <w:bCs/>
        <w:sz w:val="24"/>
        <w:szCs w:val="24"/>
      </w:rPr>
      <w:t>SUBSTANTIAL AMENDMENT SUMMARY</w:t>
    </w:r>
  </w:p>
  <w:p w14:paraId="7E7FEE59" w14:textId="5A020873" w:rsidR="00BC421E" w:rsidRPr="007749B3" w:rsidRDefault="00B61E73" w:rsidP="00BC421E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CDBG &amp; </w:t>
    </w:r>
    <w:r w:rsidR="00BC421E">
      <w:rPr>
        <w:b/>
        <w:bCs/>
        <w:sz w:val="24"/>
        <w:szCs w:val="24"/>
      </w:rPr>
      <w:t>HOME</w:t>
    </w:r>
    <w:r w:rsidR="00BC421E" w:rsidRPr="007749B3">
      <w:rPr>
        <w:b/>
        <w:bCs/>
        <w:sz w:val="24"/>
        <w:szCs w:val="24"/>
      </w:rPr>
      <w:t xml:space="preserve"> FUNDING</w:t>
    </w:r>
  </w:p>
  <w:p w14:paraId="11F841FE" w14:textId="487E8832" w:rsidR="005B45CD" w:rsidRDefault="005B4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22" w:hanging="364"/>
      </w:pPr>
      <w:rPr>
        <w:rFonts w:ascii="Arial" w:hAnsi="Arial" w:cs="Arial"/>
        <w:b w:val="0"/>
        <w:bCs w:val="0"/>
        <w:color w:val="565B59"/>
        <w:w w:val="108"/>
        <w:sz w:val="19"/>
        <w:szCs w:val="19"/>
      </w:rPr>
    </w:lvl>
    <w:lvl w:ilvl="1">
      <w:numFmt w:val="bullet"/>
      <w:lvlText w:val="•"/>
      <w:lvlJc w:val="left"/>
      <w:pPr>
        <w:ind w:left="1686" w:hanging="364"/>
      </w:pPr>
    </w:lvl>
    <w:lvl w:ilvl="2">
      <w:numFmt w:val="bullet"/>
      <w:lvlText w:val="•"/>
      <w:lvlJc w:val="left"/>
      <w:pPr>
        <w:ind w:left="2552" w:hanging="364"/>
      </w:pPr>
    </w:lvl>
    <w:lvl w:ilvl="3">
      <w:numFmt w:val="bullet"/>
      <w:lvlText w:val="•"/>
      <w:lvlJc w:val="left"/>
      <w:pPr>
        <w:ind w:left="3418" w:hanging="364"/>
      </w:pPr>
    </w:lvl>
    <w:lvl w:ilvl="4">
      <w:numFmt w:val="bullet"/>
      <w:lvlText w:val="•"/>
      <w:lvlJc w:val="left"/>
      <w:pPr>
        <w:ind w:left="4284" w:hanging="364"/>
      </w:pPr>
    </w:lvl>
    <w:lvl w:ilvl="5">
      <w:numFmt w:val="bullet"/>
      <w:lvlText w:val="•"/>
      <w:lvlJc w:val="left"/>
      <w:pPr>
        <w:ind w:left="5150" w:hanging="364"/>
      </w:pPr>
    </w:lvl>
    <w:lvl w:ilvl="6">
      <w:numFmt w:val="bullet"/>
      <w:lvlText w:val="•"/>
      <w:lvlJc w:val="left"/>
      <w:pPr>
        <w:ind w:left="6016" w:hanging="364"/>
      </w:pPr>
    </w:lvl>
    <w:lvl w:ilvl="7">
      <w:numFmt w:val="bullet"/>
      <w:lvlText w:val="•"/>
      <w:lvlJc w:val="left"/>
      <w:pPr>
        <w:ind w:left="6882" w:hanging="364"/>
      </w:pPr>
    </w:lvl>
    <w:lvl w:ilvl="8">
      <w:numFmt w:val="bullet"/>
      <w:lvlText w:val="•"/>
      <w:lvlJc w:val="left"/>
      <w:pPr>
        <w:ind w:left="7748" w:hanging="36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06" w:hanging="362"/>
      </w:pPr>
      <w:rPr>
        <w:rFonts w:ascii="Arial" w:hAnsi="Arial" w:cs="Arial"/>
        <w:b w:val="0"/>
        <w:bCs w:val="0"/>
        <w:color w:val="777777"/>
        <w:w w:val="104"/>
        <w:sz w:val="19"/>
        <w:szCs w:val="19"/>
      </w:rPr>
    </w:lvl>
    <w:lvl w:ilvl="1">
      <w:numFmt w:val="bullet"/>
      <w:lvlText w:val="•"/>
      <w:lvlJc w:val="left"/>
      <w:pPr>
        <w:ind w:left="1668" w:hanging="362"/>
      </w:pPr>
    </w:lvl>
    <w:lvl w:ilvl="2">
      <w:numFmt w:val="bullet"/>
      <w:lvlText w:val="•"/>
      <w:lvlJc w:val="left"/>
      <w:pPr>
        <w:ind w:left="2536" w:hanging="362"/>
      </w:pPr>
    </w:lvl>
    <w:lvl w:ilvl="3">
      <w:numFmt w:val="bullet"/>
      <w:lvlText w:val="•"/>
      <w:lvlJc w:val="left"/>
      <w:pPr>
        <w:ind w:left="3404" w:hanging="362"/>
      </w:pPr>
    </w:lvl>
    <w:lvl w:ilvl="4">
      <w:numFmt w:val="bullet"/>
      <w:lvlText w:val="•"/>
      <w:lvlJc w:val="left"/>
      <w:pPr>
        <w:ind w:left="4272" w:hanging="362"/>
      </w:pPr>
    </w:lvl>
    <w:lvl w:ilvl="5">
      <w:numFmt w:val="bullet"/>
      <w:lvlText w:val="•"/>
      <w:lvlJc w:val="left"/>
      <w:pPr>
        <w:ind w:left="5140" w:hanging="362"/>
      </w:pPr>
    </w:lvl>
    <w:lvl w:ilvl="6">
      <w:numFmt w:val="bullet"/>
      <w:lvlText w:val="•"/>
      <w:lvlJc w:val="left"/>
      <w:pPr>
        <w:ind w:left="6008" w:hanging="362"/>
      </w:pPr>
    </w:lvl>
    <w:lvl w:ilvl="7">
      <w:numFmt w:val="bullet"/>
      <w:lvlText w:val="•"/>
      <w:lvlJc w:val="left"/>
      <w:pPr>
        <w:ind w:left="6876" w:hanging="362"/>
      </w:pPr>
    </w:lvl>
    <w:lvl w:ilvl="8">
      <w:numFmt w:val="bullet"/>
      <w:lvlText w:val="•"/>
      <w:lvlJc w:val="left"/>
      <w:pPr>
        <w:ind w:left="7744" w:hanging="362"/>
      </w:pPr>
    </w:lvl>
  </w:abstractNum>
  <w:abstractNum w:abstractNumId="2" w15:restartNumberingAfterBreak="0">
    <w:nsid w:val="015138C8"/>
    <w:multiLevelType w:val="hybridMultilevel"/>
    <w:tmpl w:val="558A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E2123"/>
    <w:multiLevelType w:val="hybridMultilevel"/>
    <w:tmpl w:val="B984A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718C"/>
    <w:multiLevelType w:val="hybridMultilevel"/>
    <w:tmpl w:val="9ECA21FA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" w15:restartNumberingAfterBreak="0">
    <w:nsid w:val="0B4F127C"/>
    <w:multiLevelType w:val="hybridMultilevel"/>
    <w:tmpl w:val="9F389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43CF"/>
    <w:multiLevelType w:val="hybridMultilevel"/>
    <w:tmpl w:val="5E3A3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4A009D"/>
    <w:multiLevelType w:val="hybridMultilevel"/>
    <w:tmpl w:val="7244F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7D15"/>
    <w:multiLevelType w:val="hybridMultilevel"/>
    <w:tmpl w:val="53E4E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44EED"/>
    <w:multiLevelType w:val="hybridMultilevel"/>
    <w:tmpl w:val="61904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0D31AB"/>
    <w:multiLevelType w:val="hybridMultilevel"/>
    <w:tmpl w:val="43BC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9698D"/>
    <w:multiLevelType w:val="hybridMultilevel"/>
    <w:tmpl w:val="9F12F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C4ABE"/>
    <w:multiLevelType w:val="hybridMultilevel"/>
    <w:tmpl w:val="4CC2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B68F0"/>
    <w:multiLevelType w:val="hybridMultilevel"/>
    <w:tmpl w:val="03E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F28B7"/>
    <w:multiLevelType w:val="hybridMultilevel"/>
    <w:tmpl w:val="6D1C3D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F5686"/>
    <w:multiLevelType w:val="hybridMultilevel"/>
    <w:tmpl w:val="42F6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831597"/>
    <w:multiLevelType w:val="hybridMultilevel"/>
    <w:tmpl w:val="D72A032E"/>
    <w:lvl w:ilvl="0" w:tplc="64265DE6">
      <w:start w:val="1"/>
      <w:numFmt w:val="bullet"/>
      <w:lvlText w:val=""/>
      <w:lvlJc w:val="left"/>
      <w:pPr>
        <w:tabs>
          <w:tab w:val="num" w:pos="720"/>
        </w:tabs>
        <w:ind w:left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1B6849"/>
    <w:multiLevelType w:val="hybridMultilevel"/>
    <w:tmpl w:val="2F2AD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B31A2"/>
    <w:multiLevelType w:val="hybridMultilevel"/>
    <w:tmpl w:val="BFD4B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73AA1"/>
    <w:multiLevelType w:val="hybridMultilevel"/>
    <w:tmpl w:val="E15C4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294E8A"/>
    <w:multiLevelType w:val="hybridMultilevel"/>
    <w:tmpl w:val="92F41C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4F118F"/>
    <w:multiLevelType w:val="hybridMultilevel"/>
    <w:tmpl w:val="B4C2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A19B4"/>
    <w:multiLevelType w:val="hybridMultilevel"/>
    <w:tmpl w:val="8514B6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num w:numId="1" w16cid:durableId="1522548158">
    <w:abstractNumId w:val="18"/>
  </w:num>
  <w:num w:numId="2" w16cid:durableId="1418673589">
    <w:abstractNumId w:val="3"/>
  </w:num>
  <w:num w:numId="3" w16cid:durableId="567695056">
    <w:abstractNumId w:val="1"/>
  </w:num>
  <w:num w:numId="4" w16cid:durableId="715156496">
    <w:abstractNumId w:val="0"/>
  </w:num>
  <w:num w:numId="5" w16cid:durableId="1795127042">
    <w:abstractNumId w:val="6"/>
  </w:num>
  <w:num w:numId="6" w16cid:durableId="533664534">
    <w:abstractNumId w:val="17"/>
  </w:num>
  <w:num w:numId="7" w16cid:durableId="1611932755">
    <w:abstractNumId w:val="22"/>
  </w:num>
  <w:num w:numId="8" w16cid:durableId="1897398891">
    <w:abstractNumId w:val="20"/>
  </w:num>
  <w:num w:numId="9" w16cid:durableId="555044011">
    <w:abstractNumId w:val="8"/>
  </w:num>
  <w:num w:numId="10" w16cid:durableId="663628368">
    <w:abstractNumId w:val="11"/>
  </w:num>
  <w:num w:numId="11" w16cid:durableId="1913006697">
    <w:abstractNumId w:val="12"/>
  </w:num>
  <w:num w:numId="12" w16cid:durableId="1971016025">
    <w:abstractNumId w:val="15"/>
  </w:num>
  <w:num w:numId="13" w16cid:durableId="107748787">
    <w:abstractNumId w:val="4"/>
  </w:num>
  <w:num w:numId="14" w16cid:durableId="1629966063">
    <w:abstractNumId w:val="9"/>
  </w:num>
  <w:num w:numId="15" w16cid:durableId="1576357191">
    <w:abstractNumId w:val="21"/>
  </w:num>
  <w:num w:numId="16" w16cid:durableId="1635984799">
    <w:abstractNumId w:val="16"/>
  </w:num>
  <w:num w:numId="17" w16cid:durableId="640111257">
    <w:abstractNumId w:val="14"/>
  </w:num>
  <w:num w:numId="18" w16cid:durableId="1592082489">
    <w:abstractNumId w:val="19"/>
  </w:num>
  <w:num w:numId="19" w16cid:durableId="709844551">
    <w:abstractNumId w:val="10"/>
  </w:num>
  <w:num w:numId="20" w16cid:durableId="1021905293">
    <w:abstractNumId w:val="7"/>
  </w:num>
  <w:num w:numId="21" w16cid:durableId="551044243">
    <w:abstractNumId w:val="2"/>
  </w:num>
  <w:num w:numId="22" w16cid:durableId="1708525845">
    <w:abstractNumId w:val="5"/>
  </w:num>
  <w:num w:numId="23" w16cid:durableId="825709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31"/>
    <w:rsid w:val="00001C35"/>
    <w:rsid w:val="0000415A"/>
    <w:rsid w:val="00010E86"/>
    <w:rsid w:val="00011B4A"/>
    <w:rsid w:val="00012416"/>
    <w:rsid w:val="000136A4"/>
    <w:rsid w:val="00017B92"/>
    <w:rsid w:val="0002015F"/>
    <w:rsid w:val="00037D5D"/>
    <w:rsid w:val="00051913"/>
    <w:rsid w:val="00072577"/>
    <w:rsid w:val="00081D77"/>
    <w:rsid w:val="00091027"/>
    <w:rsid w:val="000C2204"/>
    <w:rsid w:val="000C5C92"/>
    <w:rsid w:val="000D3419"/>
    <w:rsid w:val="000D54A9"/>
    <w:rsid w:val="000D6BCF"/>
    <w:rsid w:val="000E04AE"/>
    <w:rsid w:val="000E2A3F"/>
    <w:rsid w:val="000E3E7D"/>
    <w:rsid w:val="000F2B59"/>
    <w:rsid w:val="00100D4B"/>
    <w:rsid w:val="001167B3"/>
    <w:rsid w:val="00117E10"/>
    <w:rsid w:val="00127498"/>
    <w:rsid w:val="00127AD1"/>
    <w:rsid w:val="001318DC"/>
    <w:rsid w:val="00137E8A"/>
    <w:rsid w:val="00147B96"/>
    <w:rsid w:val="00152BC1"/>
    <w:rsid w:val="00173298"/>
    <w:rsid w:val="001D22A4"/>
    <w:rsid w:val="001D2C79"/>
    <w:rsid w:val="001E0A75"/>
    <w:rsid w:val="001E4611"/>
    <w:rsid w:val="00236B3B"/>
    <w:rsid w:val="00237BDD"/>
    <w:rsid w:val="002430B8"/>
    <w:rsid w:val="00244114"/>
    <w:rsid w:val="00244F99"/>
    <w:rsid w:val="0028680E"/>
    <w:rsid w:val="002C5535"/>
    <w:rsid w:val="002F3C6B"/>
    <w:rsid w:val="00306787"/>
    <w:rsid w:val="0031070B"/>
    <w:rsid w:val="00346914"/>
    <w:rsid w:val="00346D3E"/>
    <w:rsid w:val="0035290F"/>
    <w:rsid w:val="0035319B"/>
    <w:rsid w:val="00380BCC"/>
    <w:rsid w:val="003909F7"/>
    <w:rsid w:val="00393E6C"/>
    <w:rsid w:val="003A3A25"/>
    <w:rsid w:val="003A3C57"/>
    <w:rsid w:val="003B43FF"/>
    <w:rsid w:val="003C485F"/>
    <w:rsid w:val="003F6AB2"/>
    <w:rsid w:val="004034FF"/>
    <w:rsid w:val="004307D8"/>
    <w:rsid w:val="00443B98"/>
    <w:rsid w:val="00451396"/>
    <w:rsid w:val="0047003E"/>
    <w:rsid w:val="00475D80"/>
    <w:rsid w:val="004C3288"/>
    <w:rsid w:val="004F1AE2"/>
    <w:rsid w:val="00507401"/>
    <w:rsid w:val="005262B4"/>
    <w:rsid w:val="0053326A"/>
    <w:rsid w:val="00540595"/>
    <w:rsid w:val="00541234"/>
    <w:rsid w:val="00552A26"/>
    <w:rsid w:val="00580470"/>
    <w:rsid w:val="005A1CFC"/>
    <w:rsid w:val="005B45CD"/>
    <w:rsid w:val="005D0207"/>
    <w:rsid w:val="005E6357"/>
    <w:rsid w:val="005F5C3A"/>
    <w:rsid w:val="005F69E3"/>
    <w:rsid w:val="005F72A9"/>
    <w:rsid w:val="006112F6"/>
    <w:rsid w:val="006365CD"/>
    <w:rsid w:val="00662730"/>
    <w:rsid w:val="0067387C"/>
    <w:rsid w:val="006767B5"/>
    <w:rsid w:val="0068341F"/>
    <w:rsid w:val="006B0484"/>
    <w:rsid w:val="006B1CA6"/>
    <w:rsid w:val="006D1DF7"/>
    <w:rsid w:val="006D7A3D"/>
    <w:rsid w:val="006E3E47"/>
    <w:rsid w:val="007022A9"/>
    <w:rsid w:val="00723BA4"/>
    <w:rsid w:val="00731BFB"/>
    <w:rsid w:val="007321DA"/>
    <w:rsid w:val="00733633"/>
    <w:rsid w:val="007502DF"/>
    <w:rsid w:val="00760EBA"/>
    <w:rsid w:val="007634DC"/>
    <w:rsid w:val="00764CD4"/>
    <w:rsid w:val="00773432"/>
    <w:rsid w:val="007749B3"/>
    <w:rsid w:val="00777546"/>
    <w:rsid w:val="007779C3"/>
    <w:rsid w:val="007928A1"/>
    <w:rsid w:val="0079525B"/>
    <w:rsid w:val="007B57C2"/>
    <w:rsid w:val="007D1D6B"/>
    <w:rsid w:val="007D5130"/>
    <w:rsid w:val="007F1A4A"/>
    <w:rsid w:val="007F6E42"/>
    <w:rsid w:val="007F7793"/>
    <w:rsid w:val="00802007"/>
    <w:rsid w:val="00803A71"/>
    <w:rsid w:val="00810EA5"/>
    <w:rsid w:val="0082012D"/>
    <w:rsid w:val="00823E02"/>
    <w:rsid w:val="00831BAC"/>
    <w:rsid w:val="00843FF8"/>
    <w:rsid w:val="00851873"/>
    <w:rsid w:val="0085410C"/>
    <w:rsid w:val="00886C77"/>
    <w:rsid w:val="00893875"/>
    <w:rsid w:val="008C12FE"/>
    <w:rsid w:val="008D3C9C"/>
    <w:rsid w:val="008D6FB9"/>
    <w:rsid w:val="00906CF1"/>
    <w:rsid w:val="00907A57"/>
    <w:rsid w:val="0091450B"/>
    <w:rsid w:val="00922893"/>
    <w:rsid w:val="00927771"/>
    <w:rsid w:val="00935AFE"/>
    <w:rsid w:val="00947C30"/>
    <w:rsid w:val="00947FF1"/>
    <w:rsid w:val="009554C7"/>
    <w:rsid w:val="0097235C"/>
    <w:rsid w:val="00972F45"/>
    <w:rsid w:val="009762BB"/>
    <w:rsid w:val="00977DFF"/>
    <w:rsid w:val="00995412"/>
    <w:rsid w:val="009B6E7F"/>
    <w:rsid w:val="009B748E"/>
    <w:rsid w:val="009C270A"/>
    <w:rsid w:val="009C73F3"/>
    <w:rsid w:val="009D4E98"/>
    <w:rsid w:val="00A10CF1"/>
    <w:rsid w:val="00A266D7"/>
    <w:rsid w:val="00A43A8C"/>
    <w:rsid w:val="00A47305"/>
    <w:rsid w:val="00A55019"/>
    <w:rsid w:val="00A60A31"/>
    <w:rsid w:val="00A61A30"/>
    <w:rsid w:val="00A90E32"/>
    <w:rsid w:val="00A97D8C"/>
    <w:rsid w:val="00AA1CFC"/>
    <w:rsid w:val="00AB20CA"/>
    <w:rsid w:val="00AB2EE1"/>
    <w:rsid w:val="00AB4D65"/>
    <w:rsid w:val="00AC76A8"/>
    <w:rsid w:val="00AF7680"/>
    <w:rsid w:val="00B04504"/>
    <w:rsid w:val="00B07B1B"/>
    <w:rsid w:val="00B12957"/>
    <w:rsid w:val="00B17D50"/>
    <w:rsid w:val="00B24891"/>
    <w:rsid w:val="00B2784D"/>
    <w:rsid w:val="00B35AE1"/>
    <w:rsid w:val="00B56EE7"/>
    <w:rsid w:val="00B61E73"/>
    <w:rsid w:val="00B744BD"/>
    <w:rsid w:val="00B824CB"/>
    <w:rsid w:val="00BA6480"/>
    <w:rsid w:val="00BC2B1A"/>
    <w:rsid w:val="00BC421E"/>
    <w:rsid w:val="00C14354"/>
    <w:rsid w:val="00C43074"/>
    <w:rsid w:val="00C45064"/>
    <w:rsid w:val="00C5652B"/>
    <w:rsid w:val="00C65CCF"/>
    <w:rsid w:val="00C668F8"/>
    <w:rsid w:val="00C83088"/>
    <w:rsid w:val="00C83F31"/>
    <w:rsid w:val="00C84B5C"/>
    <w:rsid w:val="00CF0E38"/>
    <w:rsid w:val="00CF6742"/>
    <w:rsid w:val="00D04317"/>
    <w:rsid w:val="00D2662B"/>
    <w:rsid w:val="00D30A0A"/>
    <w:rsid w:val="00D315DD"/>
    <w:rsid w:val="00D55362"/>
    <w:rsid w:val="00D64BF7"/>
    <w:rsid w:val="00D65E81"/>
    <w:rsid w:val="00D70423"/>
    <w:rsid w:val="00D779A8"/>
    <w:rsid w:val="00D95ADE"/>
    <w:rsid w:val="00D97402"/>
    <w:rsid w:val="00DA51F2"/>
    <w:rsid w:val="00DB10DD"/>
    <w:rsid w:val="00DB4058"/>
    <w:rsid w:val="00DD64FE"/>
    <w:rsid w:val="00DE0541"/>
    <w:rsid w:val="00E1576E"/>
    <w:rsid w:val="00E24BFF"/>
    <w:rsid w:val="00E41013"/>
    <w:rsid w:val="00E45F4A"/>
    <w:rsid w:val="00E51238"/>
    <w:rsid w:val="00E5639F"/>
    <w:rsid w:val="00E72221"/>
    <w:rsid w:val="00E91C1F"/>
    <w:rsid w:val="00EA1B77"/>
    <w:rsid w:val="00EC3B43"/>
    <w:rsid w:val="00EC5811"/>
    <w:rsid w:val="00EC61D8"/>
    <w:rsid w:val="00EF3680"/>
    <w:rsid w:val="00F05512"/>
    <w:rsid w:val="00F0785F"/>
    <w:rsid w:val="00F1141A"/>
    <w:rsid w:val="00F36FCA"/>
    <w:rsid w:val="00F4510A"/>
    <w:rsid w:val="00F45813"/>
    <w:rsid w:val="00F56A2F"/>
    <w:rsid w:val="00F64872"/>
    <w:rsid w:val="00F76541"/>
    <w:rsid w:val="00F94A1E"/>
    <w:rsid w:val="00FA5A09"/>
    <w:rsid w:val="00FC62A7"/>
    <w:rsid w:val="00FD2DE3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BC223"/>
  <w15:chartTrackingRefBased/>
  <w15:docId w15:val="{B9C24E43-0A35-4492-93BE-22ECEE8C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A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A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A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CD"/>
  </w:style>
  <w:style w:type="paragraph" w:styleId="Footer">
    <w:name w:val="footer"/>
    <w:basedOn w:val="Normal"/>
    <w:link w:val="FooterChar"/>
    <w:uiPriority w:val="99"/>
    <w:unhideWhenUsed/>
    <w:rsid w:val="005B4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CD"/>
  </w:style>
  <w:style w:type="paragraph" w:styleId="PlainText">
    <w:name w:val="Plain Text"/>
    <w:basedOn w:val="Normal"/>
    <w:link w:val="PlainTextChar"/>
    <w:uiPriority w:val="99"/>
    <w:unhideWhenUsed/>
    <w:rsid w:val="00DB4058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DB4058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BA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4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tingmanatee.org/pages/document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ulia.vieira@mymanatee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ymanatee.org/departments/community-and-veterans-services-depart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stingmanatee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Jason</dc:creator>
  <cp:keywords/>
  <dc:description/>
  <cp:lastModifiedBy>Susan Bigham</cp:lastModifiedBy>
  <cp:revision>2</cp:revision>
  <cp:lastPrinted>2024-06-20T14:50:00Z</cp:lastPrinted>
  <dcterms:created xsi:type="dcterms:W3CDTF">2026-01-06T14:32:00Z</dcterms:created>
  <dcterms:modified xsi:type="dcterms:W3CDTF">2026-01-06T14:32:00Z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0a4eadbc6268460dc819bec04d5bdc1cf5ac20da3a17e0be0a65a4eda5117ee2</vt:lpwstr>
  </property>
</Properties>
</file>